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0" w:name="software-development-plan-swe-plan"/>
    <w:p>
      <w:pPr>
        <w:pStyle w:val="Heading1"/>
      </w:pPr>
      <w:r>
        <w:t xml:space="preserve">Software Development Plan (SWE-Plan)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[Projektname]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[1.0]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[Entwurf / Freigegeben]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[QM / A / B / C / D]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entwicklungsmethode"/>
    <w:p>
      <w:pPr>
        <w:pStyle w:val="Heading2"/>
      </w:pPr>
      <w:r>
        <w:t xml:space="preserve">1. Entwicklungsmethode</w:t>
      </w:r>
    </w:p>
    <w:p>
      <w:pPr>
        <w:pStyle w:val="FirstParagraph"/>
      </w:pPr>
      <w:r>
        <w:t xml:space="preserve">[Beschreibung der Vorgehensweise: iterativ, V-Modell-angelehnt, oder hybrid.]</w:t>
      </w:r>
    </w:p>
    <w:p>
      <w:pPr>
        <w:pStyle w:val="BodyText"/>
      </w:pPr>
      <w:r>
        <w:t xml:space="preserve">Grundstruktur folgt dem V-Modell (ISO 26262 Part 6):</w:t>
      </w:r>
      <w:r>
        <w:t xml:space="preserve"> </w:t>
      </w:r>
      <w:r>
        <w:t xml:space="preserve">- Linke Seite: Anforderungen → Architektur → Detailentwurf → Implementierung</w:t>
      </w:r>
      <w:r>
        <w:t xml:space="preserve"> </w:t>
      </w:r>
      <w:r>
        <w:t xml:space="preserve">- Rechte Seite: Unit Test → Integrations-Test → System-Test</w:t>
      </w:r>
      <w:r>
        <w:t xml:space="preserve"> </w:t>
      </w:r>
      <w:r>
        <w:t xml:space="preserve">- Iterationen innerhalb der Phasen moeglich</w:t>
      </w:r>
    </w:p>
    <w:p>
      <w:pPr>
        <w:pStyle w:val="BodyText"/>
      </w:pPr>
      <w:r>
        <w:t xml:space="preserve">Aenderungen werden ueber Change Requests gesteuert (siehe PM-Plan).</w:t>
      </w:r>
    </w:p>
    <w:bookmarkEnd w:id="21"/>
    <w:bookmarkStart w:id="23" w:name="programmiersprache-und-standards"/>
    <w:p>
      <w:pPr>
        <w:pStyle w:val="Heading2"/>
      </w:pPr>
      <w:r>
        <w:t xml:space="preserve">2. Programmiersprache und Standards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47"/>
        <w:gridCol w:w="567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Aspekt</w:t>
            </w:r>
          </w:p>
        </w:tc>
        <w:tc>
          <w:tcPr/>
          <w:p>
            <w:pPr>
              <w:pStyle w:val="Compact"/>
            </w:pPr>
            <w:r>
              <w:t xml:space="preserve">Festlegung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Sprache</w:t>
            </w:r>
          </w:p>
        </w:tc>
        <w:tc>
          <w:tcPr/>
          <w:p>
            <w:pPr>
              <w:pStyle w:val="Compact"/>
            </w:pPr>
            <w:r>
              <w:t xml:space="preserve">[C (C99/C11) / C++ (C++14/17) / Rust]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Coding Standard</w:t>
            </w:r>
          </w:p>
        </w:tc>
        <w:tc>
          <w:tcPr/>
          <w:p>
            <w:pPr>
              <w:pStyle w:val="Compact"/>
            </w:pPr>
            <w:r>
              <w:t xml:space="preserve">[MISRA C:2012 / MISRA C:2023 / MISRA C++:2023]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Projekt-Guidelines</w:t>
            </w:r>
          </w:p>
        </w:tc>
        <w:tc>
          <w:tcPr/>
          <w:p>
            <w:pPr>
              <w:pStyle w:val="Compact"/>
            </w:pPr>
            <w:r>
              <w:t xml:space="preserve">[Verweis auf Coding-Guidelines im Wiki]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Namenskonvention</w:t>
            </w:r>
          </w:p>
        </w:tc>
        <w:tc>
          <w:tcPr/>
          <w:p>
            <w:pPr>
              <w:pStyle w:val="Compact"/>
            </w:pPr>
            <w:r>
              <w:t xml:space="preserve">[z.B. snake_case fuer Funktionen, UPPER_CASE fuer Makros]</w:t>
            </w:r>
          </w:p>
        </w:tc>
      </w:tr>
    </w:tbl>
    <w:bookmarkStart w:id="22" w:name="misra-handhabung"/>
    <w:p>
      <w:pPr>
        <w:pStyle w:val="Heading3"/>
      </w:pPr>
      <w:r>
        <w:t xml:space="preserve">MISRA-Handhabung</w:t>
      </w:r>
    </w:p>
    <w:p>
      <w:pPr>
        <w:pStyle w:val="Compact"/>
        <w:numPr>
          <w:ilvl w:val="0"/>
          <w:numId w:val="1001"/>
        </w:numPr>
      </w:pPr>
      <w:r>
        <w:t xml:space="preserve">Alle Required- und Mandatory-Regeln werden eingehalten</w:t>
      </w:r>
    </w:p>
    <w:p>
      <w:pPr>
        <w:pStyle w:val="Compact"/>
        <w:numPr>
          <w:ilvl w:val="0"/>
          <w:numId w:val="1001"/>
        </w:numPr>
      </w:pPr>
      <w:r>
        <w:t xml:space="preserve">Advisory-Regeln: Liste der angewendeten Regeln im Wiki dokumentiert</w:t>
      </w:r>
    </w:p>
    <w:p>
      <w:pPr>
        <w:pStyle w:val="Compact"/>
        <w:numPr>
          <w:ilvl w:val="0"/>
          <w:numId w:val="1001"/>
        </w:numPr>
      </w:pPr>
      <w:r>
        <w:t xml:space="preserve">Abweichungen werden per MISRA Deviation Record dokumentiert</w:t>
      </w:r>
    </w:p>
    <w:p>
      <w:pPr>
        <w:pStyle w:val="Compact"/>
        <w:numPr>
          <w:ilvl w:val="0"/>
          <w:numId w:val="1001"/>
        </w:numPr>
      </w:pPr>
      <w:r>
        <w:t xml:space="preserve">Projektweite Abweichungen per MISRA Deviation Permit genehmigt</w:t>
      </w:r>
    </w:p>
    <w:p>
      <w:pPr>
        <w:pStyle w:val="Compact"/>
        <w:numPr>
          <w:ilvl w:val="0"/>
          <w:numId w:val="1001"/>
        </w:numPr>
      </w:pPr>
      <w:r>
        <w:t xml:space="preserve">MISRA-Pruefung laeuft automatisch in der CI-Pipeline</w:t>
      </w:r>
    </w:p>
    <w:bookmarkEnd w:id="22"/>
    <w:bookmarkEnd w:id="23"/>
    <w:bookmarkStart w:id="24" w:name="build-umgebung"/>
    <w:p>
      <w:pPr>
        <w:pStyle w:val="Heading2"/>
      </w:pPr>
      <w:r>
        <w:t xml:space="preserve">3. Build-Umgebung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69"/>
        <w:gridCol w:w="575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Komponente</w:t>
            </w:r>
          </w:p>
        </w:tc>
        <w:tc>
          <w:tcPr/>
          <w:p>
            <w:pPr>
              <w:pStyle w:val="Compact"/>
            </w:pPr>
            <w:r>
              <w:t xml:space="preserve">Tool / Version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Build-System</w:t>
            </w:r>
          </w:p>
        </w:tc>
        <w:tc>
          <w:tcPr/>
          <w:p>
            <w:pPr>
              <w:pStyle w:val="Compact"/>
            </w:pPr>
            <w:r>
              <w:t xml:space="preserve">[CMake X.Y / SCons X.Y / Make]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Compiler</w:t>
            </w:r>
          </w:p>
        </w:tc>
        <w:tc>
          <w:tcPr/>
          <w:p>
            <w:pPr>
              <w:pStyle w:val="Compact"/>
            </w:pPr>
            <w:r>
              <w:t xml:space="preserve">[GCC ARM X.Y / Clang X.Y]</w:t>
            </w:r>
          </w:p>
        </w:tc>
      </w:tr>
      <w:tr>
        <w:tc>
          <w:tcPr/>
          <w:p>
            <w:pPr>
              <w:pStyle w:val="Compact"/>
            </w:pPr>
            <w:r>
              <w:t xml:space="preserve">Zielplattform</w:t>
            </w:r>
          </w:p>
        </w:tc>
        <w:tc>
          <w:tcPr/>
          <w:p>
            <w:pPr>
              <w:pStyle w:val="Compact"/>
            </w:pPr>
            <w:r>
              <w:t xml:space="preserve">[z.B. ARM Cortex-R5, Cortex-M4]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Host-Plattform</w:t>
            </w:r>
          </w:p>
        </w:tc>
        <w:tc>
          <w:tcPr/>
          <w:p>
            <w:pPr>
              <w:pStyle w:val="Compact"/>
            </w:pPr>
            <w:r>
              <w:t xml:space="preserve">[Linux x86_64 / macOS ARM64]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CI-Runner</w:t>
            </w:r>
          </w:p>
        </w:tc>
        <w:tc>
          <w:tcPr/>
          <w:p>
            <w:pPr>
              <w:pStyle w:val="Compact"/>
            </w:pPr>
            <w:r>
              <w:t xml:space="preserve">[GitLab Runner, Docker Image: …]</w:t>
            </w:r>
          </w:p>
        </w:tc>
      </w:tr>
    </w:tbl>
    <w:p>
      <w:pPr>
        <w:pStyle w:val="BodyText"/>
      </w:pPr>
      <w:r>
        <w:t xml:space="preserve">Build-Umgebung ist reproduzierbar: entweder per Docker-Image oder per dokumentierter Toolchain-Installation.</w:t>
      </w:r>
    </w:p>
    <w:bookmarkEnd w:id="24"/>
    <w:bookmarkStart w:id="25" w:name="branching-strategie"/>
    <w:p>
      <w:pPr>
        <w:pStyle w:val="Heading2"/>
      </w:pPr>
      <w:r>
        <w:t xml:space="preserve">4. Branching-Strategie</w:t>
      </w:r>
    </w:p>
    <w:p>
      <w:pPr>
        <w:pStyle w:val="SourceCode"/>
      </w:pPr>
      <w:r>
        <w:rPr>
          <w:rStyle w:val="VerbatimChar"/>
        </w:rPr>
        <w:t xml:space="preserve">main              — Stabiler, freigegebener Stand</w:t>
      </w:r>
      <w:r>
        <w:br/>
      </w:r>
      <w:r>
        <w:rPr>
          <w:rStyle w:val="VerbatimChar"/>
        </w:rPr>
        <w:t xml:space="preserve">develop           — Aktueller Entwicklungsstand</w:t>
      </w:r>
      <w:r>
        <w:br/>
      </w:r>
      <w:r>
        <w:rPr>
          <w:rStyle w:val="VerbatimChar"/>
        </w:rPr>
        <w:t xml:space="preserve">feature/SWR-XXX   — Feature-Branch pro Anforderung</w:t>
      </w:r>
      <w:r>
        <w:br/>
      </w:r>
      <w:r>
        <w:rPr>
          <w:rStyle w:val="VerbatimChar"/>
        </w:rPr>
        <w:t xml:space="preserve">bugfix/BUG-XXX    — Bugfix-Branch</w:t>
      </w:r>
      <w:r>
        <w:br/>
      </w:r>
      <w:r>
        <w:rPr>
          <w:rStyle w:val="VerbatimChar"/>
        </w:rPr>
        <w:t xml:space="preserve">release/vX.Y      — Release-Vorbereitung</w:t>
      </w:r>
      <w:r>
        <w:br/>
      </w:r>
      <w:r>
        <w:rPr>
          <w:rStyle w:val="VerbatimChar"/>
        </w:rPr>
        <w:t xml:space="preserve">hotfix/vX.Y.Z     — Kritische Fixes nach Release</w:t>
      </w:r>
    </w:p>
    <w:p>
      <w:pPr>
        <w:pStyle w:val="Compact"/>
        <w:numPr>
          <w:ilvl w:val="0"/>
          <w:numId w:val="1002"/>
        </w:numPr>
      </w:pPr>
      <w:r>
        <w:t xml:space="preserve">Feature-Branches von</w:t>
      </w:r>
      <w:r>
        <w:t xml:space="preserve"> </w:t>
      </w:r>
      <w:r>
        <w:rPr>
          <w:rStyle w:val="VerbatimChar"/>
        </w:rPr>
        <w:t xml:space="preserve">develop</w:t>
      </w:r>
      <w:r>
        <w:t xml:space="preserve"> </w:t>
      </w:r>
      <w:r>
        <w:t xml:space="preserve">abzweigen</w:t>
      </w:r>
    </w:p>
    <w:p>
      <w:pPr>
        <w:pStyle w:val="Compact"/>
        <w:numPr>
          <w:ilvl w:val="0"/>
          <w:numId w:val="1002"/>
        </w:numPr>
      </w:pPr>
      <w:r>
        <w:t xml:space="preserve">Merge nach</w:t>
      </w:r>
      <w:r>
        <w:t xml:space="preserve"> </w:t>
      </w:r>
      <w:r>
        <w:rPr>
          <w:rStyle w:val="VerbatimChar"/>
        </w:rPr>
        <w:t xml:space="preserve">develop</w:t>
      </w:r>
      <w:r>
        <w:t xml:space="preserve"> </w:t>
      </w:r>
      <w:r>
        <w:t xml:space="preserve">nur per MR mit Approval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main</w:t>
      </w:r>
      <w:r>
        <w:t xml:space="preserve"> </w:t>
      </w:r>
      <w:r>
        <w:t xml:space="preserve">und</w:t>
      </w:r>
      <w:r>
        <w:t xml:space="preserve"> </w:t>
      </w:r>
      <w:r>
        <w:rPr>
          <w:rStyle w:val="VerbatimChar"/>
        </w:rPr>
        <w:t xml:space="preserve">release/*</w:t>
      </w:r>
      <w:r>
        <w:t xml:space="preserve"> </w:t>
      </w:r>
      <w:r>
        <w:t xml:space="preserve">sind geschuetzt (kein direkter Push)</w:t>
      </w:r>
    </w:p>
    <w:p>
      <w:pPr>
        <w:pStyle w:val="Compact"/>
        <w:numPr>
          <w:ilvl w:val="0"/>
          <w:numId w:val="1002"/>
        </w:numPr>
      </w:pPr>
      <w:r>
        <w:t xml:space="preserve">Branch-Name enthaelt Issue-Nummer</w:t>
      </w:r>
    </w:p>
    <w:p>
      <w:pPr>
        <w:pStyle w:val="FirstParagraph"/>
      </w:pPr>
      <w:r>
        <w:t xml:space="preserve">Details: siehe</w:t>
      </w:r>
      <w:r>
        <w:t xml:space="preserve"> </w:t>
      </w:r>
      <w:r>
        <w:rPr>
          <w:rStyle w:val="VerbatimChar"/>
        </w:rPr>
        <w:t xml:space="preserve">gitlab-aspice-setup.md</w:t>
      </w:r>
      <w:r>
        <w:t xml:space="preserve">.</w:t>
      </w:r>
    </w:p>
    <w:bookmarkEnd w:id="25"/>
    <w:bookmarkStart w:id="26" w:name="review-verpflichtungen"/>
    <w:p>
      <w:pPr>
        <w:pStyle w:val="Heading2"/>
      </w:pPr>
      <w:r>
        <w:t xml:space="preserve">5. Review-Verpflichtungen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Artefakt</w:t>
            </w:r>
          </w:p>
        </w:tc>
        <w:tc>
          <w:tcPr/>
          <w:p>
            <w:pPr>
              <w:pStyle w:val="Compact"/>
            </w:pPr>
            <w:r>
              <w:t xml:space="preserve">Review-Art</w:t>
            </w:r>
          </w:p>
        </w:tc>
        <w:tc>
          <w:tcPr/>
          <w:p>
            <w:pPr>
              <w:pStyle w:val="Compact"/>
            </w:pPr>
            <w:r>
              <w:t xml:space="preserve">Mindest-Approvals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Quellcode (MR)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Safety-relevanter Code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Architektur-Dokument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Anforderungen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Testfaelle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</w:tbl>
    <w:p>
      <w:pPr>
        <w:pStyle w:val="BodyText"/>
      </w:pPr>
      <w:r>
        <w:t xml:space="preserve">Jeder MR muss vor dem Merge reviewed und approved sein. Self-Merges sind nicht erlaubt (Ausnahme: 1-Person-Projekt mit dokumentiertem Self-Review).</w:t>
      </w:r>
    </w:p>
    <w:bookmarkEnd w:id="26"/>
    <w:bookmarkStart w:id="27" w:name="definition-of-done"/>
    <w:p>
      <w:pPr>
        <w:pStyle w:val="Heading2"/>
      </w:pPr>
      <w:r>
        <w:t xml:space="preserve">6. Definition of Done</w:t>
      </w:r>
    </w:p>
    <w:p>
      <w:pPr>
        <w:pStyle w:val="FirstParagraph"/>
      </w:pPr>
      <w:r>
        <w:t xml:space="preserve">Ein Feature / eine Anforderung gilt als</w:t>
      </w:r>
      <w:r>
        <w:t xml:space="preserve"> </w:t>
      </w:r>
      <w:r>
        <w:t xml:space="preserve">“Done”</w:t>
      </w:r>
      <w:r>
        <w:t xml:space="preserve"> </w:t>
      </w:r>
      <w:r>
        <w:t xml:space="preserve">wenn:</w:t>
      </w:r>
    </w:p>
    <w:p>
      <w:pPr>
        <w:pStyle w:val="Compact"/>
        <w:numPr>
          <w:ilvl w:val="0"/>
          <w:numId w:val="1003"/>
        </w:numPr>
      </w:pPr>
      <w:r>
        <w:t xml:space="preserve">Code ist implementiert und kompiliert fehlerfrei</w:t>
      </w:r>
    </w:p>
    <w:p>
      <w:pPr>
        <w:pStyle w:val="Compact"/>
        <w:numPr>
          <w:ilvl w:val="0"/>
          <w:numId w:val="1004"/>
        </w:numPr>
      </w:pPr>
      <w:r>
        <w:t xml:space="preserve">MISRA-Check in CI ist gruen (keine neuen Violations)</w:t>
      </w:r>
    </w:p>
    <w:p>
      <w:pPr>
        <w:pStyle w:val="Compact"/>
        <w:numPr>
          <w:ilvl w:val="0"/>
          <w:numId w:val="1005"/>
        </w:numPr>
      </w:pPr>
      <w:r>
        <w:t xml:space="preserve">Static Analysis (Cppcheck, clang-tidy) hat keine neuen Findings</w:t>
      </w:r>
    </w:p>
    <w:p>
      <w:pPr>
        <w:pStyle w:val="Compact"/>
        <w:numPr>
          <w:ilvl w:val="0"/>
          <w:numId w:val="1006"/>
        </w:numPr>
      </w:pPr>
      <w:r>
        <w:t xml:space="preserve">Unit Tests sind geschrieben und gruen</w:t>
      </w:r>
    </w:p>
    <w:p>
      <w:pPr>
        <w:pStyle w:val="Compact"/>
        <w:numPr>
          <w:ilvl w:val="0"/>
          <w:numId w:val="1007"/>
        </w:numPr>
      </w:pPr>
      <w:r>
        <w:t xml:space="preserve">Coverage-Ziel ist erreicht (siehe Abschnitt 8)</w:t>
      </w:r>
    </w:p>
    <w:p>
      <w:pPr>
        <w:pStyle w:val="Compact"/>
        <w:numPr>
          <w:ilvl w:val="0"/>
          <w:numId w:val="1008"/>
        </w:numPr>
      </w:pPr>
      <w:r>
        <w:t xml:space="preserve">MR ist reviewed und approved</w:t>
      </w:r>
    </w:p>
    <w:p>
      <w:pPr>
        <w:pStyle w:val="Compact"/>
        <w:numPr>
          <w:ilvl w:val="0"/>
          <w:numId w:val="1009"/>
        </w:numPr>
      </w:pPr>
      <w:r>
        <w:t xml:space="preserve">Anforderung ist mit Test verlinkt (Traceability)</w:t>
      </w:r>
    </w:p>
    <w:p>
      <w:pPr>
        <w:pStyle w:val="Compact"/>
        <w:numPr>
          <w:ilvl w:val="0"/>
          <w:numId w:val="1010"/>
        </w:numPr>
      </w:pPr>
      <w:r>
        <w:t xml:space="preserve">Dokumentation ist aktualisiert (falls betroffen)</w:t>
      </w:r>
    </w:p>
    <w:bookmarkEnd w:id="27"/>
    <w:bookmarkStart w:id="28" w:name="integration-und-test-strategie"/>
    <w:p>
      <w:pPr>
        <w:pStyle w:val="Heading2"/>
      </w:pPr>
      <w:r>
        <w:t xml:space="preserve">7. Integration und Test-Strategie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76"/>
        <w:gridCol w:w="1810"/>
        <w:gridCol w:w="1810"/>
        <w:gridCol w:w="192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Teststufe</w:t>
            </w:r>
          </w:p>
        </w:tc>
        <w:tc>
          <w:tcPr/>
          <w:p>
            <w:pPr>
              <w:pStyle w:val="Compact"/>
            </w:pPr>
            <w:r>
              <w:t xml:space="preserve">Verantwortlich</w:t>
            </w:r>
          </w:p>
        </w:tc>
        <w:tc>
          <w:tcPr/>
          <w:p>
            <w:pPr>
              <w:pStyle w:val="Compact"/>
            </w:pPr>
            <w:r>
              <w:t xml:space="preserve">Umgebung</w:t>
            </w:r>
          </w:p>
        </w:tc>
        <w:tc>
          <w:tcPr/>
          <w:p>
            <w:pPr>
              <w:pStyle w:val="Compact"/>
            </w:pPr>
            <w:r>
              <w:t xml:space="preserve">Automatisierung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 Test</w:t>
            </w:r>
          </w:p>
        </w:tc>
        <w:tc>
          <w:tcPr/>
          <w:p>
            <w:pPr>
              <w:pStyle w:val="Compact"/>
            </w:pPr>
            <w:r>
              <w:t xml:space="preserve">Entwickler</w:t>
            </w:r>
          </w:p>
        </w:tc>
        <w:tc>
          <w:tcPr/>
          <w:p>
            <w:pPr>
              <w:pStyle w:val="Compact"/>
            </w:pPr>
            <w:r>
              <w:t xml:space="preserve">Host (x86)</w:t>
            </w:r>
          </w:p>
        </w:tc>
        <w:tc>
          <w:tcPr/>
          <w:p>
            <w:pPr>
              <w:pStyle w:val="Compact"/>
            </w:pPr>
            <w:r>
              <w:t xml:space="preserve">CI-Pipeline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Integrations-Test</w:t>
            </w:r>
          </w:p>
        </w:tc>
        <w:tc>
          <w:tcPr/>
          <w:p>
            <w:pPr>
              <w:pStyle w:val="Compact"/>
            </w:pPr>
            <w:r>
              <w:t xml:space="preserve">Entwickler</w:t>
            </w:r>
          </w:p>
        </w:tc>
        <w:tc>
          <w:tcPr/>
          <w:p>
            <w:pPr>
              <w:pStyle w:val="Compact"/>
            </w:pPr>
            <w:r>
              <w:t xml:space="preserve">Host / SiL</w:t>
            </w:r>
          </w:p>
        </w:tc>
        <w:tc>
          <w:tcPr/>
          <w:p>
            <w:pPr>
              <w:pStyle w:val="Compact"/>
            </w:pPr>
            <w:r>
              <w:t xml:space="preserve">CI / manuell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System-Test</w:t>
            </w:r>
          </w:p>
        </w:tc>
        <w:tc>
          <w:tcPr/>
          <w:p>
            <w:pPr>
              <w:pStyle w:val="Compact"/>
            </w:pPr>
            <w:r>
              <w:t xml:space="preserve">Test / QA</w:t>
            </w:r>
          </w:p>
        </w:tc>
        <w:tc>
          <w:tcPr/>
          <w:p>
            <w:pPr>
              <w:pStyle w:val="Compact"/>
            </w:pPr>
            <w:r>
              <w:t xml:space="preserve">SiL / HiL</w:t>
            </w:r>
          </w:p>
        </w:tc>
        <w:tc>
          <w:tcPr/>
          <w:p>
            <w:pPr>
              <w:pStyle w:val="Compact"/>
            </w:pPr>
            <w:r>
              <w:t xml:space="preserve">teilweise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Abnahme-Test</w:t>
            </w:r>
          </w:p>
        </w:tc>
        <w:tc>
          <w:tcPr/>
          <w:p>
            <w:pPr>
              <w:pStyle w:val="Compact"/>
            </w:pPr>
            <w:r>
              <w:t xml:space="preserve">Auftraggeber</w:t>
            </w:r>
          </w:p>
        </w:tc>
        <w:tc>
          <w:tcPr/>
          <w:p>
            <w:pPr>
              <w:pStyle w:val="Compact"/>
            </w:pPr>
            <w:r>
              <w:t xml:space="preserve">HiL / Fahrzeug</w:t>
            </w:r>
          </w:p>
        </w:tc>
        <w:tc>
          <w:tcPr/>
          <w:p>
            <w:pPr>
              <w:pStyle w:val="Compact"/>
            </w:pPr>
            <w:r>
              <w:t xml:space="preserve">manuell</w:t>
            </w:r>
          </w:p>
        </w:tc>
      </w:tr>
    </w:tbl>
    <w:p>
      <w:pPr>
        <w:pStyle w:val="Compact"/>
        <w:numPr>
          <w:ilvl w:val="0"/>
          <w:numId w:val="1011"/>
        </w:numPr>
      </w:pPr>
      <w:r>
        <w:t xml:space="preserve">Unit Tests laufen auf Host-Plattform (Cross-Compilation fuer Tests auf x86)</w:t>
      </w:r>
    </w:p>
    <w:p>
      <w:pPr>
        <w:pStyle w:val="Compact"/>
        <w:numPr>
          <w:ilvl w:val="0"/>
          <w:numId w:val="1011"/>
        </w:numPr>
      </w:pPr>
      <w:r>
        <w:t xml:space="preserve">Integrationstests pruefen Zusammenspiel der Module</w:t>
      </w:r>
    </w:p>
    <w:p>
      <w:pPr>
        <w:pStyle w:val="Compact"/>
        <w:numPr>
          <w:ilvl w:val="0"/>
          <w:numId w:val="1011"/>
        </w:numPr>
      </w:pPr>
      <w:r>
        <w:t xml:space="preserve">System-Tests pruefen gegen System-Anforderungen</w:t>
      </w:r>
    </w:p>
    <w:p>
      <w:pPr>
        <w:pStyle w:val="Compact"/>
        <w:numPr>
          <w:ilvl w:val="0"/>
          <w:numId w:val="1011"/>
        </w:numPr>
      </w:pPr>
      <w:r>
        <w:t xml:space="preserve">HiL-Tests werden vom Auftraggeber bereitgestellt oder gemeinsam definiert</w:t>
      </w:r>
    </w:p>
    <w:bookmarkEnd w:id="28"/>
    <w:bookmarkStart w:id="29" w:name="coverage-ziele"/>
    <w:p>
      <w:pPr>
        <w:pStyle w:val="Heading2"/>
      </w:pPr>
      <w:r>
        <w:t xml:space="preserve">8. Coverage-Ziele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Statement Coverage</w:t>
            </w:r>
          </w:p>
        </w:tc>
        <w:tc>
          <w:tcPr/>
          <w:p>
            <w:pPr>
              <w:pStyle w:val="Compact"/>
            </w:pPr>
            <w:r>
              <w:t xml:space="preserve">Branch Coverage</w:t>
            </w:r>
          </w:p>
        </w:tc>
        <w:tc>
          <w:tcPr/>
          <w:p>
            <w:pPr>
              <w:pStyle w:val="Compact"/>
            </w:pPr>
            <w:r>
              <w:t xml:space="preserve">MC/DC</w:t>
            </w:r>
          </w:p>
        </w:tc>
      </w:tr>
      <w:tr>
        <w:tc>
          <w:tcPr/>
          <w:p>
            <w:pPr>
              <w:pStyle w:val="Compact"/>
            </w:pPr>
            <w:r>
              <w:t xml:space="preserve">QM</w:t>
            </w:r>
          </w:p>
        </w:tc>
        <w:tc>
          <w:tcPr/>
          <w:p>
            <w:pPr>
              <w:pStyle w:val="Compact"/>
            </w:pPr>
            <w:r>
              <w:t xml:space="preserve">&gt;= 80% empfohlen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&gt;= 80%</w:t>
            </w:r>
          </w:p>
        </w:tc>
        <w:tc>
          <w:tcPr/>
          <w:p>
            <w:pPr>
              <w:pStyle w:val="Compact"/>
            </w:pPr>
            <w:r>
              <w:t xml:space="preserve">empfohlen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&gt;= 80%</w:t>
            </w:r>
          </w:p>
        </w:tc>
        <w:tc>
          <w:tcPr/>
          <w:p>
            <w:pPr>
              <w:pStyle w:val="Compact"/>
            </w:pPr>
            <w:r>
              <w:t xml:space="preserve">&gt;= 80%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&gt;= 90%</w:t>
            </w:r>
          </w:p>
        </w:tc>
        <w:tc>
          <w:tcPr/>
          <w:p>
            <w:pPr>
              <w:pStyle w:val="Compact"/>
            </w:pPr>
            <w:r>
              <w:t xml:space="preserve">&gt;= 80%</w:t>
            </w:r>
          </w:p>
        </w:tc>
        <w:tc>
          <w:tcPr/>
          <w:p>
            <w:pPr>
              <w:pStyle w:val="Compact"/>
            </w:pPr>
            <w:r>
              <w:t xml:space="preserve">empfohlen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&gt;= 90%</w:t>
            </w:r>
          </w:p>
        </w:tc>
        <w:tc>
          <w:tcPr/>
          <w:p>
            <w:pPr>
              <w:pStyle w:val="Compact"/>
            </w:pPr>
            <w:r>
              <w:t xml:space="preserve">&gt;= 90%</w:t>
            </w:r>
          </w:p>
        </w:tc>
        <w:tc>
          <w:tcPr/>
          <w:p>
            <w:pPr>
              <w:pStyle w:val="Compact"/>
            </w:pPr>
            <w:r>
              <w:t xml:space="preserve">&gt;= 80%</w:t>
            </w:r>
          </w:p>
        </w:tc>
      </w:tr>
    </w:tbl>
    <w:p>
      <w:pPr>
        <w:pStyle w:val="BodyText"/>
      </w:pPr>
      <w:r>
        <w:t xml:space="preserve">Konkrete Zielwerte fuer dieses Projekt: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Metrik</w:t>
            </w:r>
          </w:p>
        </w:tc>
        <w:tc>
          <w:tcPr/>
          <w:p>
            <w:pPr>
              <w:pStyle w:val="Compact"/>
            </w:pPr>
            <w:r>
              <w:t xml:space="preserve">Zielwert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Statement Coverage</w:t>
            </w:r>
          </w:p>
        </w:tc>
        <w:tc>
          <w:tcPr/>
          <w:p>
            <w:pPr>
              <w:pStyle w:val="Compact"/>
            </w:pPr>
            <w:r>
              <w:t xml:space="preserve">&gt;= [X]%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Branch Coverage</w:t>
            </w:r>
          </w:p>
        </w:tc>
        <w:tc>
          <w:tcPr/>
          <w:p>
            <w:pPr>
              <w:pStyle w:val="Compact"/>
            </w:pPr>
            <w:r>
              <w:t xml:space="preserve">&gt;= [X]%</w:t>
            </w:r>
          </w:p>
        </w:tc>
      </w:tr>
      <w:tr>
        <w:tc>
          <w:tcPr/>
          <w:p>
            <w:pPr>
              <w:pStyle w:val="Compact"/>
            </w:pPr>
            <w:r>
              <w:t xml:space="preserve">MC/DC</w:t>
            </w:r>
          </w:p>
        </w:tc>
        <w:tc>
          <w:tcPr/>
          <w:p>
            <w:pPr>
              <w:pStyle w:val="Compact"/>
            </w:pPr>
            <w:r>
              <w:t xml:space="preserve">&gt;= [X]% (falls anwendbar)</w:t>
            </w:r>
          </w:p>
        </w:tc>
      </w:tr>
    </w:tbl>
    <w:p>
      <w:pPr>
        <w:pStyle w:val="BodyText"/>
      </w:pPr>
      <w:r>
        <w:t xml:space="preserve">Coverage wird in der CI gemessen und als Artefakt archiviert. Abweichungen vom Ziel werden begruendet und im QA-Report dokumentiert.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Aenderungen an diesem Plan werden im GitLab-Wiki versioniert.</w:t>
      </w:r>
    </w:p>
    <w:bookmarkEnd w:id="29"/>
    <w:bookmarkEnd w:id="30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2026-05-11T20:39:54Z</dcterms:created>
  <dcterms:modified xsi:type="dcterms:W3CDTF">2026-05-11T20:39:54Z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