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misra-deviation-permit"/>
    <w:p>
      <w:pPr>
        <w:pStyle w:val="Heading1"/>
      </w:pPr>
      <w:r>
        <w:t xml:space="preserve">MISRA Deviation Permit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Permit-ID</w:t>
            </w:r>
          </w:p>
        </w:tc>
        <w:tc>
          <w:tcPr/>
          <w:p>
            <w:pPr>
              <w:pStyle w:val="Compact"/>
            </w:pPr>
            <w:r>
              <w:t xml:space="preserve">PER-[XXX]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Erstellt von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regelbereich"/>
    <w:p>
      <w:pPr>
        <w:pStyle w:val="Heading2"/>
      </w:pPr>
      <w:r>
        <w:t xml:space="preserve">1. Regelbereich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Regel-Nummer</w:t>
            </w:r>
          </w:p>
        </w:tc>
        <w:tc>
          <w:tcPr/>
          <w:p>
            <w:pPr>
              <w:pStyle w:val="Compact"/>
            </w:pPr>
            <w:r>
              <w:t xml:space="preserve">[z.B. Rule 11.3]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Kategorie</w:t>
            </w:r>
          </w:p>
        </w:tc>
        <w:tc>
          <w:tcPr/>
          <w:p>
            <w:pPr>
              <w:pStyle w:val="Compact"/>
            </w:pPr>
            <w:r>
              <w:t xml:space="preserve">[Required / Advisory]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Regeltext</w:t>
            </w:r>
          </w:p>
        </w:tc>
        <w:tc>
          <w:tcPr/>
          <w:p>
            <w:pPr>
              <w:pStyle w:val="Compact"/>
            </w:pPr>
            <w:r>
              <w:t xml:space="preserve">[Exakter Text der MISRA-Regel]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C:2023]</w:t>
            </w:r>
          </w:p>
        </w:tc>
      </w:tr>
    </w:tbl>
    <w:bookmarkEnd w:id="21"/>
    <w:bookmarkStart w:id="22" w:name="scope"/>
    <w:p>
      <w:pPr>
        <w:pStyle w:val="Heading2"/>
      </w:pPr>
      <w:r>
        <w:t xml:space="preserve">2. Scope</w:t>
      </w:r>
    </w:p>
    <w:p>
      <w:pPr>
        <w:pStyle w:val="FirstParagraph"/>
      </w:pPr>
      <w:r>
        <w:t xml:space="preserve">Dieses Permit gilt fuer: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Aspekt</w:t>
            </w:r>
          </w:p>
        </w:tc>
        <w:tc>
          <w:tcPr/>
          <w:p>
            <w:pPr>
              <w:pStyle w:val="Compact"/>
            </w:pPr>
            <w:r>
              <w:t xml:space="preserve">Geltungsbereich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Code-Bereich</w:t>
            </w:r>
          </w:p>
        </w:tc>
        <w:tc>
          <w:tcPr/>
          <w:p>
            <w:pPr>
              <w:pStyle w:val="Compact"/>
            </w:pPr>
            <w:r>
              <w:t xml:space="preserve">[z.B. src/hal/*.c — alle Hardware-Abstraction-Layer Dateien]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 / Komponente</w:t>
            </w:r>
          </w:p>
        </w:tc>
        <w:tc>
          <w:tcPr/>
          <w:p>
            <w:pPr>
              <w:pStyle w:val="Compact"/>
            </w:pPr>
            <w:r>
              <w:t xml:space="preserve">[z.B. HAL, CAN-Treiber]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Kontext</w:t>
            </w:r>
          </w:p>
        </w:tc>
        <w:tc>
          <w:tcPr/>
          <w:p>
            <w:pPr>
              <w:pStyle w:val="Compact"/>
            </w:pPr>
            <w:r>
              <w:t xml:space="preserve">[z.B. Register-Zugriffe auf Memory-Mapped I/O]</w:t>
            </w:r>
          </w:p>
        </w:tc>
      </w:tr>
    </w:tbl>
    <w:p>
      <w:pPr>
        <w:pStyle w:val="BodyText"/>
      </w:pPr>
      <w:r>
        <w:rPr>
          <w:b/>
          <w:bCs/>
        </w:rPr>
        <w:t xml:space="preserve">Einschraenkung:</w:t>
      </w:r>
      <w:r>
        <w:t xml:space="preserve"> </w:t>
      </w:r>
      <w:r>
        <w:t xml:space="preserve">Dieses Permit gilt ausschliesslich fuer den oben definierten Scope. Abweichungen ausserhalb dieses Bereichs erfordern einen eigenen Deviation Record oder ein separates Permit.</w:t>
      </w:r>
    </w:p>
    <w:bookmarkEnd w:id="22"/>
    <w:bookmarkStart w:id="23" w:name="begruendung"/>
    <w:p>
      <w:pPr>
        <w:pStyle w:val="Heading2"/>
      </w:pPr>
      <w:r>
        <w:t xml:space="preserve">3. Begruendung</w:t>
      </w:r>
    </w:p>
    <w:p>
      <w:pPr>
        <w:pStyle w:val="FirstParagraph"/>
      </w:pPr>
      <w:r>
        <w:t xml:space="preserve">[Warum ist die Abweichung von dieser Regel im definierten Kontext vertretbar?]</w:t>
      </w:r>
    </w:p>
    <w:p>
      <w:pPr>
        <w:pStyle w:val="BodyText"/>
      </w:pPr>
      <w:r>
        <w:t xml:space="preserve">Beispiel:</w:t>
      </w:r>
      <w:r>
        <w:t xml:space="preserve"> </w:t>
      </w:r>
      <w:r>
        <w:t xml:space="preserve">“Rule 11.3 verbietet Casts zwischen Pointer-Typen. Im HAL sind Casts von</w:t>
      </w:r>
      <w:r>
        <w:t xml:space="preserve"> </w:t>
      </w:r>
      <w:r>
        <w:rPr>
          <w:rStyle w:val="VerbatimChar"/>
        </w:rPr>
        <w:t xml:space="preserve">uint32_t*</w:t>
      </w:r>
      <w:r>
        <w:t xml:space="preserve"> </w:t>
      </w:r>
      <w:r>
        <w:t xml:space="preserve">auf Register-Structs notwendig, da die Hardware ueber Memory-Mapped I/O angesprochen wird. Die Register-Adressen und Layouts sind durch das Datenblatt definiert und statisch. Eine regelkonforme Alternative existiert nicht.”</w:t>
      </w:r>
    </w:p>
    <w:p>
      <w:pPr>
        <w:pStyle w:val="BodyText"/>
      </w:pPr>
      <w:r>
        <w:rPr>
          <w:b/>
          <w:bCs/>
        </w:rPr>
        <w:t xml:space="preserve">Begruendung:</w:t>
      </w:r>
      <w:r>
        <w:t xml:space="preserve"> </w:t>
      </w:r>
      <w:r>
        <w:t xml:space="preserve">[Hier ausfuellen]</w:t>
      </w:r>
    </w:p>
    <w:bookmarkEnd w:id="23"/>
    <w:bookmarkStart w:id="26" w:name="risikobewertung-und-alternativen"/>
    <w:p>
      <w:pPr>
        <w:pStyle w:val="Heading2"/>
      </w:pPr>
      <w:r>
        <w:t xml:space="preserve">4. Risikobewertung und Alternativen</w:t>
      </w:r>
    </w:p>
    <w:bookmarkStart w:id="24" w:name="risikobewertung"/>
    <w:p>
      <w:pPr>
        <w:pStyle w:val="Heading3"/>
      </w:pPr>
      <w:r>
        <w:t xml:space="preserve">Risikobewertung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89"/>
        <w:gridCol w:w="503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Aspekt</w:t>
            </w:r>
          </w:p>
        </w:tc>
        <w:tc>
          <w:tcPr/>
          <w:p>
            <w:pPr>
              <w:pStyle w:val="Compact"/>
            </w:pPr>
            <w:r>
              <w:t xml:space="preserve">Bewertung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Sicherheitsrelevanz</w:t>
            </w:r>
          </w:p>
        </w:tc>
        <w:tc>
          <w:tcPr/>
          <w:p>
            <w:pPr>
              <w:pStyle w:val="Compact"/>
            </w:pPr>
            <w:r>
              <w:t xml:space="preserve">[Keine / Gering / Mittel / Hoch]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Fehlerpotenzial</w:t>
            </w:r>
          </w:p>
        </w:tc>
        <w:tc>
          <w:tcPr/>
          <w:p>
            <w:pPr>
              <w:pStyle w:val="Compact"/>
            </w:pPr>
            <w:r>
              <w:t xml:space="preserve">[Beschreibung]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Absicherung</w:t>
            </w:r>
          </w:p>
        </w:tc>
        <w:tc>
          <w:tcPr/>
          <w:p>
            <w:pPr>
              <w:pStyle w:val="Compact"/>
            </w:pPr>
            <w:r>
              <w:t xml:space="preserve">[z.B. Unit Tests pruefen korrekte Register-Zugriffe, Code Review Pflicht fuer HAL-Code]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Restrisiko</w:t>
            </w:r>
          </w:p>
        </w:tc>
        <w:tc>
          <w:tcPr/>
          <w:p>
            <w:pPr>
              <w:pStyle w:val="Compact"/>
            </w:pPr>
            <w:r>
              <w:t xml:space="preserve">[Bewertung]</w:t>
            </w:r>
          </w:p>
        </w:tc>
      </w:tr>
    </w:tbl>
    <w:bookmarkEnd w:id="24"/>
    <w:bookmarkStart w:id="25" w:name="geprufte-alternativen"/>
    <w:p>
      <w:pPr>
        <w:pStyle w:val="Heading3"/>
      </w:pPr>
      <w:r>
        <w:t xml:space="preserve">Geprufte Alternativen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82"/>
        <w:gridCol w:w="51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Alternative</w:t>
            </w:r>
          </w:p>
        </w:tc>
        <w:tc>
          <w:tcPr/>
          <w:p>
            <w:pPr>
              <w:pStyle w:val="Compact"/>
            </w:pPr>
            <w:r>
              <w:t xml:space="preserve">Bewertung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[z.B. Generische Zugriffsfunktionen]</w:t>
            </w:r>
          </w:p>
        </w:tc>
        <w:tc>
          <w:tcPr/>
          <w:p>
            <w:pPr>
              <w:pStyle w:val="Compact"/>
            </w:pPr>
            <w:r>
              <w:t xml:space="preserve">[z.B. Nicht praktikabel, da hunderte Register]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[z.B. Compiler-Erweiterung]</w:t>
            </w:r>
          </w:p>
        </w:tc>
        <w:tc>
          <w:tcPr/>
          <w:p>
            <w:pPr>
              <w:pStyle w:val="Compact"/>
            </w:pPr>
            <w:r>
              <w:t xml:space="preserve">[z.B. Nicht portabel]</w:t>
            </w:r>
          </w:p>
        </w:tc>
      </w:tr>
    </w:tbl>
    <w:bookmarkEnd w:id="25"/>
    <w:bookmarkEnd w:id="26"/>
    <w:bookmarkStart w:id="27" w:name="freigabe"/>
    <w:p>
      <w:pPr>
        <w:pStyle w:val="Heading2"/>
      </w:pPr>
      <w:r>
        <w:t xml:space="preserve">5. Freigabe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Freigegeben von</w:t>
            </w:r>
          </w:p>
        </w:tc>
        <w:tc>
          <w:tcPr/>
          <w:p>
            <w:pPr>
              <w:pStyle w:val="Compact"/>
            </w:pPr>
            <w:r>
              <w:t xml:space="preserve">[Name, Rolle]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Nachweis</w:t>
            </w:r>
          </w:p>
        </w:tc>
        <w:tc>
          <w:tcPr/>
          <w:p>
            <w:pPr>
              <w:pStyle w:val="Compact"/>
            </w:pPr>
            <w:r>
              <w:t xml:space="preserve">[GitLab-Issue / Wiki-Verweis / Unterschrift]</w:t>
            </w:r>
          </w:p>
        </w:tc>
      </w:tr>
    </w:tbl>
    <w:bookmarkEnd w:id="27"/>
    <w:bookmarkStart w:id="28" w:name="gueltigkeit"/>
    <w:p>
      <w:pPr>
        <w:pStyle w:val="Heading2"/>
      </w:pPr>
      <w:r>
        <w:t xml:space="preserve">6. Gueltigkeit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Gueltig ab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Gueltig bis</w:t>
            </w:r>
          </w:p>
        </w:tc>
        <w:tc>
          <w:tcPr/>
          <w:p>
            <w:pPr>
              <w:pStyle w:val="Compact"/>
            </w:pPr>
            <w:r>
              <w:t xml:space="preserve">[YYYY-MM-DD oder</w:t>
            </w:r>
            <w:r>
              <w:t xml:space="preserve"> </w:t>
            </w:r>
            <w:r>
              <w:t xml:space="preserve">“bis auf Widerruf”</w:t>
            </w:r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Widerrufsbedingung</w:t>
            </w:r>
          </w:p>
        </w:tc>
        <w:tc>
          <w:tcPr/>
          <w:p>
            <w:pPr>
              <w:pStyle w:val="Compact"/>
            </w:pPr>
            <w:r>
              <w:t xml:space="preserve">[z.B. Bei Aenderung der Zielplattform neu bewerten]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Dieses Permit wird im GitLab-Wiki unter MISRA-Deviation-Permits abgelegt und aus Deviation Records referenziert.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2026-05-11T20:39:55Z</dcterms:created>
  <dcterms:modified xsi:type="dcterms:W3CDTF">2026-05-11T20:39:55Z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