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test-plan"/>
    <w:p>
      <w:pPr>
        <w:pStyle w:val="Heading1"/>
      </w:pPr>
      <w:r>
        <w:t xml:space="preserve">Test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test-strategy"/>
    <w:p>
      <w:pPr>
        <w:pStyle w:val="Heading2"/>
      </w:pPr>
      <w:r>
        <w:t xml:space="preserve">1. Test strategy</w:t>
      </w:r>
    </w:p>
    <w:p>
      <w:pPr>
        <w:pStyle w:val="FirstParagraph"/>
      </w:pPr>
      <w:r>
        <w:t xml:space="preserve">[Describe the approach: e.g. test-first, requirement-based, risk-based.]</w:t>
      </w:r>
    </w:p>
    <w:p>
      <w:pPr>
        <w:pStyle w:val="BodyText"/>
      </w:pPr>
      <w:r>
        <w:t xml:space="preserve">Each requirement has at least one test (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in the test). Coverage targets as in the SWE Plan section 8.</w:t>
      </w:r>
    </w:p>
    <w:bookmarkEnd w:id="21"/>
    <w:bookmarkStart w:id="22" w:name="test-levels"/>
    <w:p>
      <w:pPr>
        <w:pStyle w:val="Heading2"/>
      </w:pPr>
      <w:r>
        <w:t xml:space="preserve">2. Test levels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42"/>
        <w:gridCol w:w="2262"/>
        <w:gridCol w:w="1234"/>
        <w:gridCol w:w="1337"/>
        <w:gridCol w:w="15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Environment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</w:t>
            </w:r>
          </w:p>
        </w:tc>
        <w:tc>
          <w:tcPr/>
          <w:p>
            <w:pPr>
              <w:pStyle w:val="Compact"/>
            </w:pPr>
            <w:r>
              <w:t xml:space="preserve">Functions / modules</w:t>
            </w:r>
          </w:p>
        </w:tc>
        <w:tc>
          <w:tcPr/>
          <w:p>
            <w:pPr>
              <w:pStyle w:val="Compact"/>
            </w:pPr>
            <w:r>
              <w:t xml:space="preserve">[CppUTest]</w:t>
            </w:r>
          </w:p>
        </w:tc>
        <w:tc>
          <w:tcPr/>
          <w:p>
            <w:pPr>
              <w:pStyle w:val="Compact"/>
            </w:pPr>
            <w:r>
              <w:t xml:space="preserve">host x86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Module interaction</w:t>
            </w:r>
          </w:p>
        </w:tc>
        <w:tc>
          <w:tcPr/>
          <w:p>
            <w:pPr>
              <w:pStyle w:val="Compact"/>
            </w:pPr>
            <w:r>
              <w:t xml:space="preserve">[CppUTest]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End-to-end</w:t>
            </w:r>
          </w:p>
        </w:tc>
        <w:tc>
          <w:tcPr/>
          <w:p>
            <w:pPr>
              <w:pStyle w:val="Compact"/>
            </w:pPr>
            <w:r>
              <w:t xml:space="preserve">[manual]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Acceptance</w:t>
            </w:r>
          </w:p>
        </w:tc>
        <w:tc>
          <w:tcPr/>
          <w:p>
            <w:pPr>
              <w:pStyle w:val="Compact"/>
            </w:pPr>
            <w:r>
              <w:t xml:space="preserve">Client acceptance</w:t>
            </w:r>
          </w:p>
        </w:tc>
        <w:tc>
          <w:tcPr/>
          <w:p>
            <w:pPr>
              <w:pStyle w:val="Compact"/>
            </w:pPr>
            <w:r>
              <w:t xml:space="preserve">[manual]</w:t>
            </w:r>
          </w:p>
        </w:tc>
        <w:tc>
          <w:tcPr/>
          <w:p>
            <w:pPr>
              <w:pStyle w:val="Compact"/>
            </w:pPr>
            <w:r>
              <w:t xml:space="preserve">HiL / vehicle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</w:tbl>
    <w:bookmarkEnd w:id="22"/>
    <w:bookmarkStart w:id="23" w:name="test-management"/>
    <w:p>
      <w:pPr>
        <w:pStyle w:val="Heading2"/>
      </w:pPr>
      <w:r>
        <w:t xml:space="preserve">3. Test management</w:t>
      </w:r>
    </w:p>
    <w:p>
      <w:pPr>
        <w:pStyle w:val="Compact"/>
        <w:numPr>
          <w:ilvl w:val="0"/>
          <w:numId w:val="1001"/>
        </w:numPr>
      </w:pPr>
      <w:r>
        <w:t xml:space="preserve">Tests live in</w:t>
      </w:r>
      <w:r>
        <w:t xml:space="preserve"> </w:t>
      </w:r>
      <w:r>
        <w:rPr>
          <w:rStyle w:val="VerbatimChar"/>
        </w:rPr>
        <w:t xml:space="preserve">tests/unit/</w:t>
      </w:r>
      <w:r>
        <w:t xml:space="preserve">,</w:t>
      </w:r>
      <w:r>
        <w:t xml:space="preserve"> </w:t>
      </w:r>
      <w:r>
        <w:rPr>
          <w:rStyle w:val="VerbatimChar"/>
        </w:rPr>
        <w:t xml:space="preserve">tests/integration/</w:t>
      </w:r>
      <w:r>
        <w:t xml:space="preserve">, …</w:t>
      </w:r>
    </w:p>
    <w:p>
      <w:pPr>
        <w:pStyle w:val="Compact"/>
        <w:numPr>
          <w:ilvl w:val="0"/>
          <w:numId w:val="1001"/>
        </w:numPr>
      </w:pPr>
      <w:r>
        <w:t xml:space="preserve">Each test file carries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tags pointing to the covered requirements</w:t>
      </w:r>
    </w:p>
    <w:p>
      <w:pPr>
        <w:pStyle w:val="Compact"/>
        <w:numPr>
          <w:ilvl w:val="0"/>
          <w:numId w:val="1001"/>
        </w:numPr>
      </w:pPr>
      <w:r>
        <w:t xml:space="preserve">Tests run automatically in CI on every push</w:t>
      </w:r>
    </w:p>
    <w:p>
      <w:pPr>
        <w:pStyle w:val="Compact"/>
        <w:numPr>
          <w:ilvl w:val="0"/>
          <w:numId w:val="1001"/>
        </w:numPr>
      </w:pPr>
      <w:r>
        <w:t xml:space="preserve">Coverage report is published as a CI artefact</w:t>
      </w:r>
    </w:p>
    <w:bookmarkEnd w:id="23"/>
    <w:bookmarkStart w:id="24" w:name="test-selection-per-component"/>
    <w:p>
      <w:pPr>
        <w:pStyle w:val="Heading2"/>
      </w:pPr>
      <w:r>
        <w:t xml:space="preserve">4. Test selection per component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03"/>
        <w:gridCol w:w="510"/>
        <w:gridCol w:w="2895"/>
        <w:gridCol w:w="28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Test file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[Component A]</w:t>
            </w:r>
          </w:p>
        </w:tc>
        <w:tc>
          <w:tcPr/>
          <w:p>
            <w:pPr>
              <w:pStyle w:val="Compact"/>
            </w:pPr>
            <w:r>
              <w:t xml:space="preserve">[D]</w:t>
            </w:r>
          </w:p>
        </w:tc>
        <w:tc>
          <w:tcPr/>
          <w:p>
            <w:pPr>
              <w:pStyle w:val="Compact"/>
            </w:pPr>
            <w:r>
              <w:t xml:space="preserve">tests/unit/test_componentA.c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 + 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[Component B]</w:t>
            </w:r>
          </w:p>
        </w:tc>
        <w:tc>
          <w:tcPr/>
          <w:p>
            <w:pPr>
              <w:pStyle w:val="Compact"/>
            </w:pPr>
            <w:r>
              <w:t xml:space="preserve">[B]</w:t>
            </w:r>
          </w:p>
        </w:tc>
        <w:tc>
          <w:tcPr/>
          <w:p>
            <w:pPr>
              <w:pStyle w:val="Compact"/>
            </w:pPr>
            <w:r>
              <w:t xml:space="preserve">tests/unit/test_componentB.c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[Component C]</w:t>
            </w:r>
          </w:p>
        </w:tc>
        <w:tc>
          <w:tcPr/>
          <w:p>
            <w:pPr>
              <w:pStyle w:val="Compact"/>
            </w:pPr>
            <w:r>
              <w:t xml:space="preserve">[QM]</w:t>
            </w:r>
          </w:p>
        </w:tc>
        <w:tc>
          <w:tcPr/>
          <w:p>
            <w:pPr>
              <w:pStyle w:val="Compact"/>
            </w:pPr>
            <w:r>
              <w:t xml:space="preserve">tests/unit/test_componentC.c</w:t>
            </w:r>
          </w:p>
        </w:tc>
        <w:tc>
          <w:tcPr/>
          <w:p>
            <w:pPr>
              <w:pStyle w:val="Compact"/>
            </w:pPr>
            <w:r>
              <w:t xml:space="preserve">Equivalence classes</w:t>
            </w:r>
          </w:p>
        </w:tc>
      </w:tr>
    </w:tbl>
    <w:bookmarkEnd w:id="24"/>
    <w:bookmarkStart w:id="25" w:name="entry-and-exit-criteria"/>
    <w:p>
      <w:pPr>
        <w:pStyle w:val="Heading2"/>
      </w:pPr>
      <w:r>
        <w:t xml:space="preserve">5. Entry and exit criteria</w:t>
      </w:r>
    </w:p>
    <w:p>
      <w:pPr>
        <w:pStyle w:val="FirstParagraph"/>
      </w:pPr>
      <w:r>
        <w:rPr>
          <w:b/>
          <w:bCs/>
        </w:rPr>
        <w:t xml:space="preserve">Entry to test execution:</w:t>
      </w:r>
      <w:r>
        <w:t xml:space="preserve"> </w:t>
      </w:r>
      <w:r>
        <w:t xml:space="preserve">- Code compiles</w:t>
      </w:r>
      <w:r>
        <w:t xml:space="preserve"> </w:t>
      </w:r>
      <w:r>
        <w:t xml:space="preserve">- Doorstop check is green</w:t>
      </w:r>
      <w:r>
        <w:t xml:space="preserve"> </w:t>
      </w:r>
      <w:r>
        <w:t xml:space="preserve">- Static analysis has no critical findings</w:t>
      </w:r>
    </w:p>
    <w:p>
      <w:pPr>
        <w:pStyle w:val="BodyText"/>
      </w:pPr>
      <w:r>
        <w:rPr>
          <w:b/>
          <w:bCs/>
        </w:rPr>
        <w:t xml:space="preserve">Exit:</w:t>
      </w:r>
      <w:r>
        <w:t xml:space="preserve"> </w:t>
      </w:r>
      <w:r>
        <w:t xml:space="preserve">- All tests green</w:t>
      </w:r>
      <w:r>
        <w:t xml:space="preserve"> </w:t>
      </w:r>
      <w:r>
        <w:t xml:space="preserve">- Coverage target reached</w:t>
      </w:r>
      <w:r>
        <w:t xml:space="preserve"> </w:t>
      </w:r>
      <w:r>
        <w:t xml:space="preserve">- Test report archived</w:t>
      </w:r>
    </w:p>
    <w:bookmarkEnd w:id="25"/>
    <w:bookmarkStart w:id="26" w:name="defect-handling"/>
    <w:p>
      <w:pPr>
        <w:pStyle w:val="Heading2"/>
      </w:pPr>
      <w:r>
        <w:t xml:space="preserve">6. Defect handling</w:t>
      </w:r>
    </w:p>
    <w:p>
      <w:pPr>
        <w:pStyle w:val="Compact"/>
        <w:numPr>
          <w:ilvl w:val="0"/>
          <w:numId w:val="1002"/>
        </w:numPr>
      </w:pPr>
      <w:r>
        <w:t xml:space="preserve">Test failure = blocking issue</w:t>
      </w:r>
    </w:p>
    <w:p>
      <w:pPr>
        <w:pStyle w:val="Compact"/>
        <w:numPr>
          <w:ilvl w:val="0"/>
          <w:numId w:val="1002"/>
        </w:numPr>
      </w:pPr>
      <w:r>
        <w:t xml:space="preserve">Issue raised via Gitea Issues, referenced in the PR</w:t>
      </w:r>
    </w:p>
    <w:p>
      <w:pPr>
        <w:pStyle w:val="Compact"/>
        <w:numPr>
          <w:ilvl w:val="0"/>
          <w:numId w:val="1002"/>
        </w:numPr>
      </w:pPr>
      <w:r>
        <w:t xml:space="preserve">Severity classification per QA Plan section 4</w:t>
      </w:r>
    </w:p>
    <w:bookmarkEnd w:id="26"/>
    <w:bookmarkStart w:id="27" w:name="reporting"/>
    <w:p>
      <w:pPr>
        <w:pStyle w:val="Heading2"/>
      </w:pPr>
      <w:r>
        <w:t xml:space="preserve">7. Reporting</w:t>
      </w:r>
    </w:p>
    <w:p>
      <w:pPr>
        <w:pStyle w:val="FirstParagraph"/>
      </w:pPr>
      <w:r>
        <w:t xml:space="preserve">Test reports are generated automatically:</w:t>
      </w:r>
      <w:r>
        <w:t xml:space="preserve"> </w:t>
      </w:r>
      <w:r>
        <w:t xml:space="preserve">- Console output of the test framework (TAP / JUnit XML)</w:t>
      </w:r>
      <w:r>
        <w:t xml:space="preserve"> </w:t>
      </w:r>
      <w:r>
        <w:t xml:space="preserve">- Coverage HTML from lcov</w:t>
      </w:r>
      <w:r>
        <w:t xml:space="preserve"> </w:t>
      </w:r>
      <w:r>
        <w:t xml:space="preserve">- Both as CI artefacts under</w:t>
      </w:r>
      <w:r>
        <w:t xml:space="preserve"> </w:t>
      </w:r>
      <w:r>
        <w:rPr>
          <w:rStyle w:val="VerbatimChar"/>
        </w:rPr>
        <w:t xml:space="preserve">tests/results/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2026-05-12T10:42:26Z</dcterms:created>
  <dcterms:modified xsi:type="dcterms:W3CDTF">2026-05-12T10:42:26Z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