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software-development-plan-swe-plan"/>
    <w:p>
      <w:pPr>
        <w:pStyle w:val="Heading1"/>
      </w:pPr>
      <w:r>
        <w:t xml:space="preserve">Software Development Plan (SWE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development-method"/>
    <w:p>
      <w:pPr>
        <w:pStyle w:val="Heading2"/>
      </w:pPr>
      <w:r>
        <w:t xml:space="preserve">1. Development method</w:t>
      </w:r>
    </w:p>
    <w:p>
      <w:pPr>
        <w:pStyle w:val="FirstParagraph"/>
      </w:pPr>
      <w:r>
        <w:t xml:space="preserve">[Describe the approach: iterative, V-model aligned, or hybrid.]</w:t>
      </w:r>
    </w:p>
    <w:p>
      <w:pPr>
        <w:pStyle w:val="BodyText"/>
      </w:pPr>
      <w:r>
        <w:t xml:space="preserve">The base structure follows the V-model (ISO 26262 Part 6):</w:t>
      </w:r>
      <w:r>
        <w:t xml:space="preserve"> </w:t>
      </w:r>
      <w:r>
        <w:t xml:space="preserve">- Left side: requirements → architecture → detailed design → implementation</w:t>
      </w:r>
      <w:r>
        <w:t xml:space="preserve"> </w:t>
      </w:r>
      <w:r>
        <w:t xml:space="preserve">- Right side: unit test → integration test → system test</w:t>
      </w:r>
      <w:r>
        <w:t xml:space="preserve"> </w:t>
      </w:r>
      <w:r>
        <w:t xml:space="preserve">- Iterations within phases are possible</w:t>
      </w:r>
    </w:p>
    <w:p>
      <w:pPr>
        <w:pStyle w:val="BodyText"/>
      </w:pPr>
      <w:r>
        <w:t xml:space="preserve">Changes are managed via change requests (see PM Plan).</w:t>
      </w:r>
    </w:p>
    <w:bookmarkEnd w:id="21"/>
    <w:bookmarkStart w:id="23" w:name="programming-language-and-standards"/>
    <w:p>
      <w:pPr>
        <w:pStyle w:val="Heading2"/>
      </w:pPr>
      <w:r>
        <w:t xml:space="preserve">2. Programming language and standards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7"/>
        <w:gridCol w:w="56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</w:t>
            </w:r>
          </w:p>
        </w:tc>
        <w:tc>
          <w:tcPr/>
          <w:p>
            <w:pPr>
              <w:pStyle w:val="Compact"/>
            </w:pPr>
            <w:r>
              <w:t xml:space="preserve">[C (C99/C11) / C++ (C++14/17) / Rust]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 / MISRA C++:2023]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guidelines</w:t>
            </w:r>
          </w:p>
        </w:tc>
        <w:tc>
          <w:tcPr/>
          <w:p>
            <w:pPr>
              <w:pStyle w:val="Compact"/>
            </w:pPr>
            <w:r>
              <w:t xml:space="preserve">[Reference to coding guidelines in the wiki]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 convention</w:t>
            </w:r>
          </w:p>
        </w:tc>
        <w:tc>
          <w:tcPr/>
          <w:p>
            <w:pPr>
              <w:pStyle w:val="Compact"/>
            </w:pPr>
            <w:r>
              <w:t xml:space="preserve">[e.g. snake_case for functions, UPPER_CASE for macros]</w:t>
            </w:r>
          </w:p>
        </w:tc>
      </w:tr>
    </w:tbl>
    <w:bookmarkStart w:id="22" w:name="misra-handling"/>
    <w:p>
      <w:pPr>
        <w:pStyle w:val="Heading3"/>
      </w:pPr>
      <w:r>
        <w:t xml:space="preserve">MISRA handling</w:t>
      </w:r>
    </w:p>
    <w:p>
      <w:pPr>
        <w:pStyle w:val="Compact"/>
        <w:numPr>
          <w:ilvl w:val="0"/>
          <w:numId w:val="1001"/>
        </w:numPr>
      </w:pPr>
      <w:r>
        <w:t xml:space="preserve">All Required and Mandatory rules are observed</w:t>
      </w:r>
    </w:p>
    <w:p>
      <w:pPr>
        <w:pStyle w:val="Compact"/>
        <w:numPr>
          <w:ilvl w:val="0"/>
          <w:numId w:val="1001"/>
        </w:numPr>
      </w:pPr>
      <w:r>
        <w:t xml:space="preserve">Advisory rules: list of applied rules documented in the wiki</w:t>
      </w:r>
    </w:p>
    <w:p>
      <w:pPr>
        <w:pStyle w:val="Compact"/>
        <w:numPr>
          <w:ilvl w:val="0"/>
          <w:numId w:val="1001"/>
        </w:numPr>
      </w:pPr>
      <w:r>
        <w:t xml:space="preserve">Deviations are documented per MISRA deviation record</w:t>
      </w:r>
    </w:p>
    <w:p>
      <w:pPr>
        <w:pStyle w:val="Compact"/>
        <w:numPr>
          <w:ilvl w:val="0"/>
          <w:numId w:val="1001"/>
        </w:numPr>
      </w:pPr>
      <w:r>
        <w:t xml:space="preserve">Project-wide deviations are approved via MISRA deviation permit</w:t>
      </w:r>
    </w:p>
    <w:p>
      <w:pPr>
        <w:pStyle w:val="Compact"/>
        <w:numPr>
          <w:ilvl w:val="0"/>
          <w:numId w:val="1001"/>
        </w:numPr>
      </w:pPr>
      <w:r>
        <w:t xml:space="preserve">MISRA check runs automatically in the CI pipeline</w:t>
      </w:r>
    </w:p>
    <w:bookmarkEnd w:id="22"/>
    <w:bookmarkEnd w:id="23"/>
    <w:bookmarkStart w:id="24" w:name="build-environment"/>
    <w:p>
      <w:pPr>
        <w:pStyle w:val="Heading2"/>
      </w:pPr>
      <w:r>
        <w:t xml:space="preserve">3. Build environment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9"/>
        <w:gridCol w:w="57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Tool / 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 system</w:t>
            </w:r>
          </w:p>
        </w:tc>
        <w:tc>
          <w:tcPr/>
          <w:p>
            <w:pPr>
              <w:pStyle w:val="Compact"/>
            </w:pPr>
            <w:r>
              <w:t xml:space="preserve">[CMake X.Y / SCons X.Y / Make]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[GCC ARM X.Y / Clang X.Y]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Target platform</w:t>
            </w:r>
          </w:p>
        </w:tc>
        <w:tc>
          <w:tcPr/>
          <w:p>
            <w:pPr>
              <w:pStyle w:val="Compact"/>
            </w:pPr>
            <w:r>
              <w:t xml:space="preserve">[e.g. ARM Cortex-R5, Cortex-M4]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 platform</w:t>
            </w:r>
          </w:p>
        </w:tc>
        <w:tc>
          <w:tcPr/>
          <w:p>
            <w:pPr>
              <w:pStyle w:val="Compact"/>
            </w:pPr>
            <w:r>
              <w:t xml:space="preserve">[Linux x86_64 / macOS ARM64]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 runner</w:t>
            </w:r>
          </w:p>
        </w:tc>
        <w:tc>
          <w:tcPr/>
          <w:p>
            <w:pPr>
              <w:pStyle w:val="Compact"/>
            </w:pPr>
            <w:r>
              <w:t xml:space="preserve">[Gitea Runner, Docker image: …]</w:t>
            </w:r>
          </w:p>
        </w:tc>
      </w:tr>
    </w:tbl>
    <w:p>
      <w:pPr>
        <w:pStyle w:val="BodyText"/>
      </w:pPr>
      <w:r>
        <w:t xml:space="preserve">The build environment is reproducible: either via a Docker image or via a documented toolchain installation.</w:t>
      </w:r>
    </w:p>
    <w:bookmarkEnd w:id="24"/>
    <w:bookmarkStart w:id="25" w:name="branching-strategy"/>
    <w:p>
      <w:pPr>
        <w:pStyle w:val="Heading2"/>
      </w:pPr>
      <w:r>
        <w:t xml:space="preserve">4. Branching strategy</w:t>
      </w:r>
    </w:p>
    <w:p>
      <w:pPr>
        <w:pStyle w:val="SourceCode"/>
      </w:pPr>
      <w:r>
        <w:rPr>
          <w:rStyle w:val="VerbatimChar"/>
        </w:rPr>
        <w:t xml:space="preserve">main              — stable, released state</w:t>
      </w:r>
      <w:r>
        <w:br/>
      </w:r>
      <w:r>
        <w:rPr>
          <w:rStyle w:val="VerbatimChar"/>
        </w:rPr>
        <w:t xml:space="preserve">develop           — current development state</w:t>
      </w:r>
      <w:r>
        <w:br/>
      </w:r>
      <w:r>
        <w:rPr>
          <w:rStyle w:val="VerbatimChar"/>
        </w:rPr>
        <w:t xml:space="preserve">feature/SWE-XXX   — feature branch per requirement</w:t>
      </w:r>
      <w:r>
        <w:br/>
      </w:r>
      <w:r>
        <w:rPr>
          <w:rStyle w:val="VerbatimChar"/>
        </w:rPr>
        <w:t xml:space="preserve">bugfix/BUG-XXX    — bug-fix branch</w:t>
      </w:r>
      <w:r>
        <w:br/>
      </w:r>
      <w:r>
        <w:rPr>
          <w:rStyle w:val="VerbatimChar"/>
        </w:rPr>
        <w:t xml:space="preserve">release/vX.Y      — release preparation</w:t>
      </w:r>
      <w:r>
        <w:br/>
      </w:r>
      <w:r>
        <w:rPr>
          <w:rStyle w:val="VerbatimChar"/>
        </w:rPr>
        <w:t xml:space="preserve">hotfix/vX.Y.Z     — critical fixes after release</w:t>
      </w:r>
    </w:p>
    <w:p>
      <w:pPr>
        <w:pStyle w:val="Compact"/>
        <w:numPr>
          <w:ilvl w:val="0"/>
          <w:numId w:val="1002"/>
        </w:numPr>
      </w:pPr>
      <w:r>
        <w:t xml:space="preserve">Feature branches are taken off</w:t>
      </w:r>
      <w:r>
        <w:t xml:space="preserve"> </w:t>
      </w:r>
      <w:r>
        <w:rPr>
          <w:rStyle w:val="VerbatimChar"/>
        </w:rPr>
        <w:t xml:space="preserve">develop</w:t>
      </w:r>
    </w:p>
    <w:p>
      <w:pPr>
        <w:pStyle w:val="Compact"/>
        <w:numPr>
          <w:ilvl w:val="0"/>
          <w:numId w:val="1002"/>
        </w:numPr>
      </w:pPr>
      <w:r>
        <w:t xml:space="preserve">Merge to</w:t>
      </w:r>
      <w:r>
        <w:t xml:space="preserve"> </w:t>
      </w:r>
      <w:r>
        <w:rPr>
          <w:rStyle w:val="VerbatimChar"/>
        </w:rPr>
        <w:t xml:space="preserve">develop</w:t>
      </w:r>
      <w:r>
        <w:t xml:space="preserve"> </w:t>
      </w:r>
      <w:r>
        <w:t xml:space="preserve">only via PR with approval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main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release/*</w:t>
      </w:r>
      <w:r>
        <w:t xml:space="preserve"> </w:t>
      </w:r>
      <w:r>
        <w:t xml:space="preserve">are protected (no direct push)</w:t>
      </w:r>
    </w:p>
    <w:p>
      <w:pPr>
        <w:pStyle w:val="Compact"/>
        <w:numPr>
          <w:ilvl w:val="0"/>
          <w:numId w:val="1002"/>
        </w:numPr>
      </w:pPr>
      <w:r>
        <w:t xml:space="preserve">Branch name includes the issue number</w:t>
      </w:r>
    </w:p>
    <w:p>
      <w:pPr>
        <w:pStyle w:val="FirstParagraph"/>
      </w:pPr>
      <w:r>
        <w:t xml:space="preserve">Details: see</w:t>
      </w:r>
      <w:r>
        <w:t xml:space="preserve"> </w:t>
      </w:r>
      <w:r>
        <w:rPr>
          <w:rStyle w:val="VerbatimChar"/>
        </w:rPr>
        <w:t xml:space="preserve">gitea-aspice-setup.md</w:t>
      </w:r>
      <w:r>
        <w:t xml:space="preserve">.</w:t>
      </w:r>
    </w:p>
    <w:bookmarkEnd w:id="25"/>
    <w:bookmarkStart w:id="26" w:name="review-obligations"/>
    <w:p>
      <w:pPr>
        <w:pStyle w:val="Heading2"/>
      </w:pPr>
      <w:r>
        <w:t xml:space="preserve">5. Review obligations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Min. approvals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code (PR)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Safety-relevant code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document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cases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Every PR must be reviewed and approved before merge. Self-merges are not permitted (exception: 1-person project with documented self-review).</w:t>
      </w:r>
    </w:p>
    <w:bookmarkEnd w:id="26"/>
    <w:bookmarkStart w:id="27" w:name="definition-of-done"/>
    <w:p>
      <w:pPr>
        <w:pStyle w:val="Heading2"/>
      </w:pPr>
      <w:r>
        <w:t xml:space="preserve">6. Definition of Done</w:t>
      </w:r>
    </w:p>
    <w:p>
      <w:pPr>
        <w:pStyle w:val="FirstParagraph"/>
      </w:pPr>
      <w:r>
        <w:t xml:space="preserve">A feature / requirement is</w:t>
      </w:r>
      <w:r>
        <w:t xml:space="preserve"> </w:t>
      </w:r>
      <w:r>
        <w:t xml:space="preserve">“Done”</w:t>
      </w:r>
      <w:r>
        <w:t xml:space="preserve"> </w:t>
      </w:r>
      <w:r>
        <w:t xml:space="preserve">when:</w:t>
      </w:r>
    </w:p>
    <w:p>
      <w:pPr>
        <w:pStyle w:val="Compact"/>
        <w:numPr>
          <w:ilvl w:val="0"/>
          <w:numId w:val="1003"/>
        </w:numPr>
      </w:pPr>
      <w:r>
        <w:t xml:space="preserve">Code is implemented and compiles without errors</w:t>
      </w:r>
    </w:p>
    <w:p>
      <w:pPr>
        <w:pStyle w:val="Compact"/>
        <w:numPr>
          <w:ilvl w:val="0"/>
          <w:numId w:val="1004"/>
        </w:numPr>
      </w:pPr>
      <w:r>
        <w:t xml:space="preserve">MISRA check in CI is green (no new violations)</w:t>
      </w:r>
    </w:p>
    <w:p>
      <w:pPr>
        <w:pStyle w:val="Compact"/>
        <w:numPr>
          <w:ilvl w:val="0"/>
          <w:numId w:val="1005"/>
        </w:numPr>
      </w:pPr>
      <w:r>
        <w:t xml:space="preserve">Static analysis (Cppcheck, clang-tidy) has no new findings</w:t>
      </w:r>
    </w:p>
    <w:p>
      <w:pPr>
        <w:pStyle w:val="Compact"/>
        <w:numPr>
          <w:ilvl w:val="0"/>
          <w:numId w:val="1006"/>
        </w:numPr>
      </w:pPr>
      <w:r>
        <w:t xml:space="preserve">Unit tests are written and green</w:t>
      </w:r>
    </w:p>
    <w:p>
      <w:pPr>
        <w:pStyle w:val="Compact"/>
        <w:numPr>
          <w:ilvl w:val="0"/>
          <w:numId w:val="1007"/>
        </w:numPr>
      </w:pPr>
      <w:r>
        <w:t xml:space="preserve">Coverage target is reached (see section 8)</w:t>
      </w:r>
    </w:p>
    <w:p>
      <w:pPr>
        <w:pStyle w:val="Compact"/>
        <w:numPr>
          <w:ilvl w:val="0"/>
          <w:numId w:val="1008"/>
        </w:numPr>
      </w:pPr>
      <w:r>
        <w:t xml:space="preserve">PR is reviewed and approved</w:t>
      </w:r>
    </w:p>
    <w:p>
      <w:pPr>
        <w:pStyle w:val="Compact"/>
        <w:numPr>
          <w:ilvl w:val="0"/>
          <w:numId w:val="1009"/>
        </w:numPr>
      </w:pPr>
      <w:r>
        <w:t xml:space="preserve">Requirement is linked to a test (traceability)</w:t>
      </w:r>
    </w:p>
    <w:p>
      <w:pPr>
        <w:pStyle w:val="Compact"/>
        <w:numPr>
          <w:ilvl w:val="0"/>
          <w:numId w:val="1010"/>
        </w:numPr>
      </w:pPr>
      <w:r>
        <w:t xml:space="preserve">Documentation is updated (if affected)</w:t>
      </w:r>
    </w:p>
    <w:bookmarkEnd w:id="27"/>
    <w:bookmarkStart w:id="28" w:name="integration-and-test-strategy"/>
    <w:p>
      <w:pPr>
        <w:pStyle w:val="Heading2"/>
      </w:pPr>
      <w:r>
        <w:t xml:space="preserve">7. Integration and test strategy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5"/>
        <w:gridCol w:w="1836"/>
        <w:gridCol w:w="1721"/>
        <w:gridCol w:w="20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 level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Environment</w:t>
            </w:r>
          </w:p>
        </w:tc>
        <w:tc>
          <w:tcPr/>
          <w:p>
            <w:pPr>
              <w:pStyle w:val="Compact"/>
            </w:pPr>
            <w:r>
              <w:t xml:space="preserve">Automation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</w:t>
            </w:r>
          </w:p>
        </w:tc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host (x86)</w:t>
            </w:r>
          </w:p>
        </w:tc>
        <w:tc>
          <w:tcPr/>
          <w:p>
            <w:pPr>
              <w:pStyle w:val="Compact"/>
            </w:pPr>
            <w:r>
              <w:t xml:space="preserve">CI pipeline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test</w:t>
            </w:r>
          </w:p>
        </w:tc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CI / manual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test</w:t>
            </w:r>
          </w:p>
        </w:tc>
        <w:tc>
          <w:tcPr/>
          <w:p>
            <w:pPr>
              <w:pStyle w:val="Compact"/>
            </w:pPr>
            <w:r>
              <w:t xml:space="preserve">Test / QA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Acceptance test</w:t>
            </w:r>
          </w:p>
        </w:tc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HiL / vehicle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</w:tr>
    </w:tbl>
    <w:p>
      <w:pPr>
        <w:pStyle w:val="Compact"/>
        <w:numPr>
          <w:ilvl w:val="0"/>
          <w:numId w:val="1011"/>
        </w:numPr>
      </w:pPr>
      <w:r>
        <w:t xml:space="preserve">Unit tests run on the host platform (cross-compilation for x86 testing)</w:t>
      </w:r>
    </w:p>
    <w:p>
      <w:pPr>
        <w:pStyle w:val="Compact"/>
        <w:numPr>
          <w:ilvl w:val="0"/>
          <w:numId w:val="1011"/>
        </w:numPr>
      </w:pPr>
      <w:r>
        <w:t xml:space="preserve">Integration tests verify module interaction</w:t>
      </w:r>
    </w:p>
    <w:p>
      <w:pPr>
        <w:pStyle w:val="Compact"/>
        <w:numPr>
          <w:ilvl w:val="0"/>
          <w:numId w:val="1011"/>
        </w:numPr>
      </w:pPr>
      <w:r>
        <w:t xml:space="preserve">System tests verify against system requirements</w:t>
      </w:r>
    </w:p>
    <w:p>
      <w:pPr>
        <w:pStyle w:val="Compact"/>
        <w:numPr>
          <w:ilvl w:val="0"/>
          <w:numId w:val="1011"/>
        </w:numPr>
      </w:pPr>
      <w:r>
        <w:t xml:space="preserve">HiL tests are provided by the client or jointly defined</w:t>
      </w:r>
    </w:p>
    <w:bookmarkEnd w:id="28"/>
    <w:bookmarkStart w:id="29" w:name="coverage-targets"/>
    <w:p>
      <w:pPr>
        <w:pStyle w:val="Heading2"/>
      </w:pPr>
      <w:r>
        <w:t xml:space="preserve">8. Coverage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≥ 80% recommended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recommended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recommended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</w:tr>
    </w:tbl>
    <w:p>
      <w:pPr>
        <w:pStyle w:val="BodyText"/>
      </w:pPr>
      <w:r>
        <w:t xml:space="preserve">Concrete target values for this project: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≥ [X]%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≥ [X]%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≥ [X]% (where applicable)</w:t>
            </w:r>
          </w:p>
        </w:tc>
      </w:tr>
    </w:tbl>
    <w:p>
      <w:pPr>
        <w:pStyle w:val="BodyText"/>
      </w:pPr>
      <w:r>
        <w:t xml:space="preserve">Coverage is measured in CI and archived as an artefact. Deviations from the target are justified and documented in the QA report.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2026-05-12T10:42:26Z</dcterms:created>
  <dcterms:modified xsi:type="dcterms:W3CDTF">2026-05-12T10:42:26Z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