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misra-deviation-record"/>
    <w:p>
      <w:pPr>
        <w:pStyle w:val="Heading1"/>
      </w:pPr>
      <w:r>
        <w:t xml:space="preserve">MISRA Deviation Record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Deviation ID</w:t>
            </w:r>
          </w:p>
        </w:tc>
        <w:tc>
          <w:tcPr/>
          <w:p>
            <w:pPr>
              <w:pStyle w:val="Compact"/>
            </w:pPr>
            <w:r>
              <w:t xml:space="preserve">DEV-[XXX]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rule"/>
    <w:p>
      <w:pPr>
        <w:pStyle w:val="Heading2"/>
      </w:pPr>
      <w:r>
        <w:t xml:space="preserve">1. Rule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number</w:t>
            </w:r>
          </w:p>
        </w:tc>
        <w:tc>
          <w:tcPr/>
          <w:p>
            <w:pPr>
              <w:pStyle w:val="Compact"/>
            </w:pPr>
            <w:r>
              <w:t xml:space="preserve">[e.g. Rule 11.3]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[Required / Advisory / Mandatory]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text</w:t>
            </w:r>
          </w:p>
        </w:tc>
        <w:tc>
          <w:tcPr/>
          <w:p>
            <w:pPr>
              <w:pStyle w:val="Compact"/>
            </w:pPr>
            <w:r>
              <w:t xml:space="preserve">[Exact text of the MISRA rule]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</w:tbl>
    <w:bookmarkEnd w:id="21"/>
    <w:bookmarkStart w:id="22" w:name="location"/>
    <w:p>
      <w:pPr>
        <w:pStyle w:val="Heading2"/>
      </w:pPr>
      <w:r>
        <w:t xml:space="preserve">2. Location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[e.g. src/drivers/watchdog.c]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Line(s)</w:t>
            </w:r>
          </w:p>
        </w:tc>
        <w:tc>
          <w:tcPr/>
          <w:p>
            <w:pPr>
              <w:pStyle w:val="Compact"/>
            </w:pPr>
            <w:r>
              <w:t xml:space="preserve">[e.g. 142-145]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[e.g. wdg_set_timeout()]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 commit</w:t>
            </w:r>
          </w:p>
        </w:tc>
        <w:tc>
          <w:tcPr/>
          <w:p>
            <w:pPr>
              <w:pStyle w:val="Compact"/>
            </w:pPr>
            <w:r>
              <w:t xml:space="preserve">[commit hash]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reference</w:t>
            </w:r>
          </w:p>
        </w:tc>
        <w:tc>
          <w:tcPr/>
          <w:p>
            <w:pPr>
              <w:pStyle w:val="Compact"/>
            </w:pPr>
            <w:r>
              <w:t xml:space="preserve">[PR link or issue link]</w:t>
            </w:r>
          </w:p>
        </w:tc>
      </w:tr>
    </w:tbl>
    <w:bookmarkEnd w:id="22"/>
    <w:bookmarkStart w:id="23" w:name="rationale"/>
    <w:p>
      <w:pPr>
        <w:pStyle w:val="Heading2"/>
      </w:pPr>
      <w:r>
        <w:t xml:space="preserve">3. Rationale</w:t>
      </w:r>
    </w:p>
    <w:p>
      <w:pPr>
        <w:pStyle w:val="FirstParagraph"/>
      </w:pPr>
      <w:r>
        <w:t xml:space="preserve">[Why is the deviation technically acceptable in this specific case?]</w:t>
      </w:r>
    </w:p>
    <w:p>
      <w:pPr>
        <w:pStyle w:val="BodyText"/>
      </w:pPr>
      <w:r>
        <w:t xml:space="preserve">Possible rationales:</w:t>
      </w:r>
      <w:r>
        <w:t xml:space="preserve"> </w:t>
      </w:r>
      <w:r>
        <w:t xml:space="preserve">- Hardware access requires type conversion</w:t>
      </w:r>
      <w:r>
        <w:t xml:space="preserve"> </w:t>
      </w:r>
      <w:r>
        <w:t xml:space="preserve">- Compiler-specific behaviour is defined and tested</w:t>
      </w:r>
      <w:r>
        <w:t xml:space="preserve"> </w:t>
      </w:r>
      <w:r>
        <w:t xml:space="preserve">- Alternative implementation would be disproportionately complex</w:t>
      </w:r>
      <w:r>
        <w:t xml:space="preserve"> </w:t>
      </w:r>
      <w:r>
        <w:t xml:space="preserve">- Rule is not safety-relevant in this context</w:t>
      </w:r>
    </w:p>
    <w:p>
      <w:pPr>
        <w:pStyle w:val="BodyText"/>
      </w:pPr>
      <w:r>
        <w:rPr>
          <w:b/>
          <w:bCs/>
        </w:rPr>
        <w:t xml:space="preserve">Specific rationale:</w:t>
      </w:r>
      <w:r>
        <w:t xml:space="preserve"> </w:t>
      </w:r>
      <w:r>
        <w:t xml:space="preserve">[Fill in here]</w:t>
      </w:r>
    </w:p>
    <w:bookmarkEnd w:id="23"/>
    <w:bookmarkStart w:id="24" w:name="risk-assessment"/>
    <w:p>
      <w:pPr>
        <w:pStyle w:val="Heading2"/>
      </w:pPr>
      <w:r>
        <w:t xml:space="preserve">4. Risk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9"/>
        <w:gridCol w:w="50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relevance</w:t>
            </w:r>
          </w:p>
        </w:tc>
        <w:tc>
          <w:tcPr/>
          <w:p>
            <w:pPr>
              <w:pStyle w:val="Compact"/>
            </w:pPr>
            <w:r>
              <w:t xml:space="preserve">[None / Low / Medium / High]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Fault potential</w:t>
            </w:r>
          </w:p>
        </w:tc>
        <w:tc>
          <w:tcPr/>
          <w:p>
            <w:pPr>
              <w:pStyle w:val="Compact"/>
            </w:pPr>
            <w:r>
              <w:t xml:space="preserve">[Description of potential faults]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Mitigation</w:t>
            </w:r>
          </w:p>
        </w:tc>
        <w:tc>
          <w:tcPr/>
          <w:p>
            <w:pPr>
              <w:pStyle w:val="Compact"/>
            </w:pPr>
            <w:r>
              <w:t xml:space="preserve">[Which tests / measures cover the code]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[Assessment of the residual risk]</w:t>
            </w:r>
          </w:p>
        </w:tc>
      </w:tr>
    </w:tbl>
    <w:bookmarkEnd w:id="24"/>
    <w:bookmarkStart w:id="25" w:name="reference-to-deviation-permit"/>
    <w:p>
      <w:pPr>
        <w:pStyle w:val="Heading2"/>
      </w:pPr>
      <w:r>
        <w:t xml:space="preserve">5. Reference to deviation permit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exists</w:t>
            </w:r>
          </w:p>
        </w:tc>
        <w:tc>
          <w:tcPr/>
          <w:p>
            <w:pPr>
              <w:pStyle w:val="Compact"/>
            </w:pPr>
            <w:r>
              <w:t xml:space="preserve">[Yes / No]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ID</w:t>
            </w:r>
          </w:p>
        </w:tc>
        <w:tc>
          <w:tcPr/>
          <w:p>
            <w:pPr>
              <w:pStyle w:val="Compact"/>
            </w:pPr>
            <w:r>
              <w:t xml:space="preserve">[PER-XXX or</w:t>
            </w:r>
            <w:r>
              <w:t xml:space="preserve"> </w:t>
            </w:r>
            <w:r>
              <w:t xml:space="preserve">“n/a”</w:t>
            </w:r>
            <w:r>
              <w:t xml:space="preserve">]</w:t>
            </w:r>
          </w:p>
        </w:tc>
      </w:tr>
    </w:tbl>
    <w:p>
      <w:pPr>
        <w:pStyle w:val="BodyText"/>
      </w:pPr>
      <w:r>
        <w:t xml:space="preserve">If no permit exists: this deviation is a single-case approval.</w:t>
      </w:r>
    </w:p>
    <w:bookmarkEnd w:id="25"/>
    <w:bookmarkStart w:id="26" w:name="approval"/>
    <w:p>
      <w:pPr>
        <w:pStyle w:val="Heading2"/>
      </w:pPr>
      <w:r>
        <w:t xml:space="preserve">6. Approval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[Name, role]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[Gitea PR approval / signature]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record is kept in the repository under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docs/misra/</w:t>
      </w:r>
      <w:r>
        <w:rPr>
          <w:i/>
          <w:iCs/>
        </w:rPr>
        <w:t xml:space="preserve"> </w:t>
      </w:r>
      <w:r>
        <w:rPr>
          <w:i/>
          <w:iCs/>
        </w:rPr>
        <w:t xml:space="preserve">or as a Gitea issue.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2026-05-12T10:42:27Z</dcterms:created>
  <dcterms:modified xsi:type="dcterms:W3CDTF">2026-05-12T10:42:27Z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