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misra-deviation-permit"/>
    <w:p>
      <w:pPr>
        <w:pStyle w:val="Heading1"/>
      </w:pPr>
      <w:r>
        <w:t xml:space="preserve">MISRA Deviation Permit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ID</w:t>
            </w:r>
          </w:p>
        </w:tc>
        <w:tc>
          <w:tcPr/>
          <w:p>
            <w:pPr>
              <w:pStyle w:val="Compact"/>
            </w:pPr>
            <w:r>
              <w:t xml:space="preserve">PER-[XXX]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rule"/>
    <w:p>
      <w:pPr>
        <w:pStyle w:val="Heading2"/>
      </w:pPr>
      <w:r>
        <w:t xml:space="preserve">1. Rule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number</w:t>
            </w:r>
          </w:p>
        </w:tc>
        <w:tc>
          <w:tcPr/>
          <w:p>
            <w:pPr>
              <w:pStyle w:val="Compact"/>
            </w:pPr>
            <w:r>
              <w:t xml:space="preserve">[e.g. 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[Required / Advisory]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text</w:t>
            </w:r>
          </w:p>
        </w:tc>
        <w:tc>
          <w:tcPr/>
          <w:p>
            <w:pPr>
              <w:pStyle w:val="Compact"/>
            </w:pPr>
            <w:r>
              <w:t xml:space="preserve">[Exact text of the MISRA rule]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2"/>
    <w:bookmarkStart w:id="23" w:name="scope"/>
    <w:p>
      <w:pPr>
        <w:pStyle w:val="Heading2"/>
      </w:pPr>
      <w:r>
        <w:t xml:space="preserve">2. Scope</w:t>
      </w:r>
    </w:p>
    <w:p>
      <w:pPr>
        <w:pStyle w:val="FirstParagraph"/>
      </w:pPr>
      <w:r>
        <w:t xml:space="preserve">This permit applies to: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area</w:t>
            </w:r>
          </w:p>
        </w:tc>
        <w:tc>
          <w:tcPr/>
          <w:p>
            <w:pPr>
              <w:pStyle w:val="Compact"/>
            </w:pPr>
            <w:r>
              <w:t xml:space="preserve">[e.g. src/hal/*.c — all hardware-abstraction-layer files]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/ component</w:t>
            </w:r>
          </w:p>
        </w:tc>
        <w:tc>
          <w:tcPr/>
          <w:p>
            <w:pPr>
              <w:pStyle w:val="Compact"/>
            </w:pPr>
            <w:r>
              <w:t xml:space="preserve">[e.g. HAL, CAN driver]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Context</w:t>
            </w:r>
          </w:p>
        </w:tc>
        <w:tc>
          <w:tcPr/>
          <w:p>
            <w:pPr>
              <w:pStyle w:val="Compact"/>
            </w:pPr>
            <w:r>
              <w:t xml:space="preserve">[e.g. register access to memory-mapped I/O]</w:t>
            </w:r>
          </w:p>
        </w:tc>
      </w:tr>
    </w:tbl>
    <w:p>
      <w:pPr>
        <w:pStyle w:val="BodyText"/>
      </w:pPr>
      <w:r>
        <w:rPr>
          <w:b/>
          <w:bCs/>
        </w:rPr>
        <w:t xml:space="preserve">Limitation:</w:t>
      </w:r>
      <w:r>
        <w:t xml:space="preserve"> </w:t>
      </w:r>
      <w:r>
        <w:t xml:space="preserve">This permit applies exclusively to the scope defined above. Deviations outside this scope require a separate deviation record or a separate permit.</w:t>
      </w:r>
    </w:p>
    <w:bookmarkEnd w:id="23"/>
    <w:bookmarkStart w:id="24" w:name="rationale"/>
    <w:p>
      <w:pPr>
        <w:pStyle w:val="Heading2"/>
      </w:pPr>
      <w:r>
        <w:t xml:space="preserve">3. Rationale</w:t>
      </w:r>
    </w:p>
    <w:p>
      <w:pPr>
        <w:pStyle w:val="FirstParagraph"/>
      </w:pPr>
      <w:r>
        <w:t xml:space="preserve">[Why is deviation from this rule acceptable in the defined context?]</w:t>
      </w:r>
    </w:p>
    <w:p>
      <w:pPr>
        <w:pStyle w:val="BodyText"/>
      </w:pPr>
      <w:r>
        <w:t xml:space="preserve">Example:</w:t>
      </w:r>
      <w:r>
        <w:t xml:space="preserve"> </w:t>
      </w:r>
      <w:r>
        <w:t xml:space="preserve">“Rule 11.3 forbids casts between pointer types. In the HAL, casts from</w:t>
      </w:r>
      <w:r>
        <w:t xml:space="preserve"> </w:t>
      </w:r>
      <w:r>
        <w:rPr>
          <w:rStyle w:val="VerbatimChar"/>
        </w:rPr>
        <w:t xml:space="preserve">uint32_t*</w:t>
      </w:r>
      <w:r>
        <w:t xml:space="preserve"> </w:t>
      </w:r>
      <w:r>
        <w:t xml:space="preserve">to register structs are necessary because the hardware is accessed via memory-mapped I/O. The register addresses and layouts are defined in the datasheet and are static. A rule-compliant alternative does not exist.”</w:t>
      </w:r>
    </w:p>
    <w:p>
      <w:pPr>
        <w:pStyle w:val="BodyText"/>
      </w:pPr>
      <w:r>
        <w:rPr>
          <w:b/>
          <w:bCs/>
        </w:rPr>
        <w:t xml:space="preserve">Rationale:</w:t>
      </w:r>
      <w:r>
        <w:t xml:space="preserve"> </w:t>
      </w:r>
      <w:r>
        <w:t xml:space="preserve">[Fill in here]</w:t>
      </w:r>
    </w:p>
    <w:bookmarkEnd w:id="24"/>
    <w:bookmarkStart w:id="27" w:name="risk-assessment-and-alternatives"/>
    <w:p>
      <w:pPr>
        <w:pStyle w:val="Heading2"/>
      </w:pPr>
      <w:r>
        <w:t xml:space="preserve">4. Risk assessment and alternatives</w:t>
      </w:r>
    </w:p>
    <w:bookmarkStart w:id="25" w:name="risk-assessment"/>
    <w:p>
      <w:pPr>
        <w:pStyle w:val="Heading3"/>
      </w:pPr>
      <w:r>
        <w:t xml:space="preserve">Risk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relevance</w:t>
            </w:r>
          </w:p>
        </w:tc>
        <w:tc>
          <w:tcPr/>
          <w:p>
            <w:pPr>
              <w:pStyle w:val="Compact"/>
            </w:pPr>
            <w:r>
              <w:t xml:space="preserve">[None / Low / Medium / High]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Fault potential</w:t>
            </w:r>
          </w:p>
        </w:tc>
        <w:tc>
          <w:tcPr/>
          <w:p>
            <w:pPr>
              <w:pStyle w:val="Compact"/>
            </w:pPr>
            <w:r>
              <w:t xml:space="preserve">[Description]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Mitigation</w:t>
            </w:r>
          </w:p>
        </w:tc>
        <w:tc>
          <w:tcPr/>
          <w:p>
            <w:pPr>
              <w:pStyle w:val="Compact"/>
            </w:pPr>
            <w:r>
              <w:t xml:space="preserve">[e.g. unit tests verify correct register access, code review required for HAL code]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[Assessment]</w:t>
            </w:r>
          </w:p>
        </w:tc>
      </w:tr>
    </w:tbl>
    <w:bookmarkEnd w:id="25"/>
    <w:bookmarkStart w:id="26" w:name="alternatives-considered"/>
    <w:p>
      <w:pPr>
        <w:pStyle w:val="Heading3"/>
      </w:pPr>
      <w:r>
        <w:t xml:space="preserve">Alternatives considered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82"/>
        <w:gridCol w:w="5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Alternative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 generic accessor functions]</w:t>
            </w:r>
          </w:p>
        </w:tc>
        <w:tc>
          <w:tcPr/>
          <w:p>
            <w:pPr>
              <w:pStyle w:val="Compact"/>
            </w:pPr>
            <w:r>
              <w:t xml:space="preserve">[e.g. not practical due to hundreds of registers]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 compiler extension]</w:t>
            </w:r>
          </w:p>
        </w:tc>
        <w:tc>
          <w:tcPr/>
          <w:p>
            <w:pPr>
              <w:pStyle w:val="Compact"/>
            </w:pPr>
            <w:r>
              <w:t xml:space="preserve">[e.g. not portable]</w:t>
            </w:r>
          </w:p>
        </w:tc>
      </w:tr>
    </w:tbl>
    <w:bookmarkEnd w:id="26"/>
    <w:bookmarkEnd w:id="27"/>
    <w:bookmarkStart w:id="28" w:name="approval"/>
    <w:p>
      <w:pPr>
        <w:pStyle w:val="Heading2"/>
      </w:pPr>
      <w:r>
        <w:t xml:space="preserve">5. Approval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[Name, role]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issue / wiki link / signature]</w:t>
            </w:r>
          </w:p>
        </w:tc>
      </w:tr>
    </w:tbl>
    <w:bookmarkEnd w:id="28"/>
    <w:bookmarkStart w:id="29" w:name="validity"/>
    <w:p>
      <w:pPr>
        <w:pStyle w:val="Heading2"/>
      </w:pPr>
      <w:r>
        <w:t xml:space="preserve">6. Validity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 from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 until</w:t>
            </w:r>
          </w:p>
        </w:tc>
        <w:tc>
          <w:tcPr/>
          <w:p>
            <w:pPr>
              <w:pStyle w:val="Compact"/>
            </w:pPr>
            <w:r>
              <w:t xml:space="preserve">[YYYY-MM-DD or</w:t>
            </w:r>
            <w:r>
              <w:t xml:space="preserve"> </w:t>
            </w:r>
            <w:r>
              <w:t xml:space="preserve">“until revoked”</w:t>
            </w:r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Revocation trigger</w:t>
            </w:r>
          </w:p>
        </w:tc>
        <w:tc>
          <w:tcPr/>
          <w:p>
            <w:pPr>
              <w:pStyle w:val="Compact"/>
            </w:pPr>
            <w:r>
              <w:t xml:space="preserve">[e.g. re-evaluate if the target platform changes]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permit is stored in the Gitea wiki under MISRA-Deviation-Permits and referenced from deviation records.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2026-05-19T05:46:39Z</dcterms:created>
  <dcterms:modified xsi:type="dcterms:W3CDTF">2026-05-19T05:46:39Z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