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test-plan"/>
    <w:p>
      <w:pPr>
        <w:pStyle w:val="Heading1"/>
      </w:pPr>
      <w:r>
        <w:t xml:space="preserve">Test-Plan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teststrategie"/>
    <w:p>
      <w:pPr>
        <w:pStyle w:val="Heading2"/>
      </w:pPr>
      <w:r>
        <w:t xml:space="preserve">1. Teststrategie</w:t>
      </w:r>
    </w:p>
    <w:p>
      <w:pPr>
        <w:pStyle w:val="FirstParagraph"/>
      </w:pPr>
      <w:r>
        <w:t xml:space="preserve">Test-First fuer alle Demo-Komponenten. Jede Anforderung erhaelt mindestens einen Test (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im Test). Coverage-Ziele wie im SWE-Plan Abschnitt 8.</w:t>
      </w:r>
    </w:p>
    <w:bookmarkEnd w:id="21"/>
    <w:bookmarkStart w:id="22" w:name="teststufen"/>
    <w:p>
      <w:pPr>
        <w:pStyle w:val="Heading2"/>
      </w:pPr>
      <w:r>
        <w:t xml:space="preserve">2. Teststufen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50"/>
        <w:gridCol w:w="2200"/>
        <w:gridCol w:w="1320"/>
        <w:gridCol w:w="1320"/>
        <w:gridCol w:w="14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Stufe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Umgebung</w:t>
            </w:r>
          </w:p>
        </w:tc>
        <w:tc>
          <w:tcPr/>
          <w:p>
            <w:pPr>
              <w:pStyle w:val="Compact"/>
            </w:pPr>
            <w:r>
              <w:t xml:space="preserve">Demo-Status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</w:t>
            </w:r>
          </w:p>
        </w:tc>
        <w:tc>
          <w:tcPr/>
          <w:p>
            <w:pPr>
              <w:pStyle w:val="Compact"/>
            </w:pPr>
            <w:r>
              <w:t xml:space="preserve">Funktionen / Module</w:t>
            </w:r>
          </w:p>
        </w:tc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Host x86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t xml:space="preserve">Modulzusammenspiel</w:t>
            </w:r>
          </w:p>
        </w:tc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Host x86</w:t>
            </w:r>
          </w:p>
        </w:tc>
        <w:tc>
          <w:tcPr/>
          <w:p>
            <w:pPr>
              <w:pStyle w:val="Compact"/>
            </w:pPr>
            <w: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End-to-end</w:t>
            </w:r>
          </w:p>
        </w:tc>
        <w:tc>
          <w:tcPr/>
          <w:p>
            <w:pPr>
              <w:pStyle w:val="Compact"/>
            </w:pPr>
            <w:r>
              <w:t xml:space="preserve">manuell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nicht im Demo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Abnahme</w:t>
            </w:r>
          </w:p>
        </w:tc>
        <w:tc>
          <w:tcPr/>
          <w:p>
            <w:pPr>
              <w:pStyle w:val="Compact"/>
            </w:pPr>
            <w:r>
              <w:t xml:space="preserve">Kundenabnahme</w:t>
            </w:r>
          </w:p>
        </w:tc>
        <w:tc>
          <w:tcPr/>
          <w:p>
            <w:pPr>
              <w:pStyle w:val="Compact"/>
            </w:pPr>
            <w:r>
              <w:t xml:space="preserve">manuell</w:t>
            </w:r>
          </w:p>
        </w:tc>
        <w:tc>
          <w:tcPr/>
          <w:p>
            <w:pPr>
              <w:pStyle w:val="Compact"/>
            </w:pPr>
            <w:r>
              <w:t xml:space="preserve">HiL / KFZ</w:t>
            </w:r>
          </w:p>
        </w:tc>
        <w:tc>
          <w:tcPr/>
          <w:p>
            <w:pPr>
              <w:pStyle w:val="Compact"/>
            </w:pPr>
            <w:r>
              <w:t xml:space="preserve">nicht im Demo</w:t>
            </w:r>
          </w:p>
        </w:tc>
      </w:tr>
    </w:tbl>
    <w:bookmarkEnd w:id="22"/>
    <w:bookmarkStart w:id="23" w:name="test-verwaltung"/>
    <w:p>
      <w:pPr>
        <w:pStyle w:val="Heading2"/>
      </w:pPr>
      <w:r>
        <w:t xml:space="preserve">3. Test-Verwaltung</w:t>
      </w:r>
    </w:p>
    <w:p>
      <w:pPr>
        <w:pStyle w:val="Compact"/>
        <w:numPr>
          <w:ilvl w:val="0"/>
          <w:numId w:val="1001"/>
        </w:numPr>
      </w:pPr>
      <w:r>
        <w:t xml:space="preserve">Tests liegen in</w:t>
      </w:r>
      <w:r>
        <w:t xml:space="preserve"> </w:t>
      </w:r>
      <w:r>
        <w:rPr>
          <w:rStyle w:val="VerbatimChar"/>
        </w:rPr>
        <w:t xml:space="preserve">tests/unit/</w:t>
      </w:r>
      <w:r>
        <w:t xml:space="preserve"> </w:t>
      </w:r>
      <w:r>
        <w:t xml:space="preserve">(eine Datei pro Modul)</w:t>
      </w:r>
    </w:p>
    <w:p>
      <w:pPr>
        <w:pStyle w:val="Compact"/>
        <w:numPr>
          <w:ilvl w:val="0"/>
          <w:numId w:val="1001"/>
        </w:numPr>
      </w:pPr>
      <w:r>
        <w:t xml:space="preserve">Test-Datei enthaelt</w:t>
      </w:r>
      <w:r>
        <w:t xml:space="preserve"> 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mit den abgedeckten Anforderungs-IDs</w:t>
      </w:r>
    </w:p>
    <w:p>
      <w:pPr>
        <w:pStyle w:val="Compact"/>
        <w:numPr>
          <w:ilvl w:val="0"/>
          <w:numId w:val="1001"/>
        </w:numPr>
      </w:pPr>
      <w:r>
        <w:t xml:space="preserve">Test-Lauf erfolgt automatisch in der CI bei jedem Push</w:t>
      </w:r>
    </w:p>
    <w:p>
      <w:pPr>
        <w:pStyle w:val="Compact"/>
        <w:numPr>
          <w:ilvl w:val="0"/>
          <w:numId w:val="1001"/>
        </w:numPr>
      </w:pPr>
      <w:r>
        <w:t xml:space="preserve">Coverage-Report wird als CI-Artefakt unter</w:t>
      </w:r>
      <w:r>
        <w:t xml:space="preserve"> </w:t>
      </w:r>
      <w:r>
        <w:rPr>
          <w:rStyle w:val="VerbatimChar"/>
        </w:rPr>
        <w:t xml:space="preserve">tests/results/coverage/</w:t>
      </w:r>
      <w:r>
        <w:t xml:space="preserve"> </w:t>
      </w:r>
      <w:r>
        <w:t xml:space="preserve">abgelegt</w:t>
      </w:r>
    </w:p>
    <w:bookmarkEnd w:id="23"/>
    <w:bookmarkStart w:id="24" w:name="test-auswahl-je-komponente"/>
    <w:p>
      <w:pPr>
        <w:pStyle w:val="Heading2"/>
      </w:pPr>
      <w:r>
        <w:t xml:space="preserve">4. Test-Auswahl je Komponente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60"/>
        <w:gridCol w:w="528"/>
        <w:gridCol w:w="3344"/>
        <w:gridCol w:w="22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Komponente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Test-Datei</w:t>
            </w:r>
          </w:p>
        </w:tc>
        <w:tc>
          <w:tcPr/>
          <w:p>
            <w:pPr>
              <w:pStyle w:val="Compact"/>
            </w:pPr>
            <w:r>
              <w:t xml:space="preserve">Methodik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Apply Controller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tests/unit/test_apply_controller.cpp</w:t>
            </w:r>
          </w:p>
        </w:tc>
        <w:tc>
          <w:tcPr/>
          <w:p>
            <w:pPr>
              <w:pStyle w:val="Compact"/>
            </w:pPr>
            <w:r>
              <w:t xml:space="preserve">Equivalence Classes + Boundary + MC/DC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Actuator Driver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tests/unit/test_actuator_driver.cpp</w:t>
            </w:r>
          </w:p>
        </w:tc>
        <w:tc>
          <w:tcPr/>
          <w:p>
            <w:pPr>
              <w:pStyle w:val="Compact"/>
            </w:pPr>
            <w:r>
              <w:t xml:space="preserve">Equivalence Classes + Boundary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Switch Debouncer</w:t>
            </w:r>
          </w:p>
        </w:tc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tests/unit/test_switch_debouncer.cpp</w:t>
            </w:r>
          </w:p>
        </w:tc>
        <w:tc>
          <w:tcPr/>
          <w:p>
            <w:pPr>
              <w:pStyle w:val="Compact"/>
            </w:pPr>
            <w:r>
              <w:t xml:space="preserve">Equivalence Classes</w:t>
            </w:r>
          </w:p>
        </w:tc>
      </w:tr>
    </w:tbl>
    <w:bookmarkEnd w:id="24"/>
    <w:bookmarkStart w:id="25" w:name="eingangs--und-abschlusskriterien"/>
    <w:p>
      <w:pPr>
        <w:pStyle w:val="Heading2"/>
      </w:pPr>
      <w:r>
        <w:t xml:space="preserve">5. Eingangs- und Abschlusskriterien</w:t>
      </w:r>
    </w:p>
    <w:p>
      <w:pPr>
        <w:pStyle w:val="FirstParagraph"/>
      </w:pPr>
      <w:r>
        <w:rPr>
          <w:b/>
          <w:bCs/>
        </w:rPr>
        <w:t xml:space="preserve">Eingang fuer Testdurchfuehrung:</w:t>
      </w:r>
      <w:r>
        <w:t xml:space="preserve"> </w:t>
      </w:r>
      <w:r>
        <w:t xml:space="preserve">- Code kompiliert</w:t>
      </w:r>
      <w:r>
        <w:t xml:space="preserve"> </w:t>
      </w:r>
      <w:r>
        <w:t xml:space="preserve">- Doorstop-Check gruen</w:t>
      </w:r>
      <w:r>
        <w:t xml:space="preserve"> </w:t>
      </w:r>
      <w:r>
        <w:t xml:space="preserve">- Statische Analyse ohne kritische Findings</w:t>
      </w:r>
    </w:p>
    <w:p>
      <w:pPr>
        <w:pStyle w:val="BodyText"/>
      </w:pPr>
      <w:r>
        <w:rPr>
          <w:b/>
          <w:bCs/>
        </w:rPr>
        <w:t xml:space="preserve">Abschluss:</w:t>
      </w:r>
      <w:r>
        <w:t xml:space="preserve"> </w:t>
      </w:r>
      <w:r>
        <w:t xml:space="preserve">- Alle Tests gruen</w:t>
      </w:r>
      <w:r>
        <w:t xml:space="preserve"> </w:t>
      </w:r>
      <w:r>
        <w:t xml:space="preserve">- Coverage-Ziel erreicht</w:t>
      </w:r>
      <w:r>
        <w:t xml:space="preserve"> </w:t>
      </w:r>
      <w:r>
        <w:t xml:space="preserve">- Test-Report archiviert</w:t>
      </w:r>
    </w:p>
    <w:bookmarkEnd w:id="25"/>
    <w:bookmarkStart w:id="26" w:name="fehlerverwaltung"/>
    <w:p>
      <w:pPr>
        <w:pStyle w:val="Heading2"/>
      </w:pPr>
      <w:r>
        <w:t xml:space="preserve">6. Fehlerverwaltung</w:t>
      </w:r>
    </w:p>
    <w:p>
      <w:pPr>
        <w:pStyle w:val="Compact"/>
        <w:numPr>
          <w:ilvl w:val="0"/>
          <w:numId w:val="1002"/>
        </w:numPr>
      </w:pPr>
      <w:r>
        <w:t xml:space="preserve">Test-Fehlschlag = blockendes Issue</w:t>
      </w:r>
    </w:p>
    <w:p>
      <w:pPr>
        <w:pStyle w:val="Compact"/>
        <w:numPr>
          <w:ilvl w:val="0"/>
          <w:numId w:val="1002"/>
        </w:numPr>
      </w:pPr>
      <w:r>
        <w:t xml:space="preserve">Issue wird ueber Gitea Issues angelegt, im PR referenziert</w:t>
      </w:r>
    </w:p>
    <w:p>
      <w:pPr>
        <w:pStyle w:val="Compact"/>
        <w:numPr>
          <w:ilvl w:val="0"/>
          <w:numId w:val="1002"/>
        </w:numPr>
      </w:pPr>
      <w:r>
        <w:t xml:space="preserve">Schwere-Kategorisierung wie in QA-Plan Abschnitt 4</w:t>
      </w:r>
    </w:p>
    <w:bookmarkEnd w:id="26"/>
    <w:bookmarkStart w:id="27" w:name="reporting"/>
    <w:p>
      <w:pPr>
        <w:pStyle w:val="Heading2"/>
      </w:pPr>
      <w:r>
        <w:t xml:space="preserve">7. Reporting</w:t>
      </w:r>
    </w:p>
    <w:p>
      <w:pPr>
        <w:pStyle w:val="FirstParagraph"/>
      </w:pPr>
      <w:r>
        <w:t xml:space="preserve">Test-Reports werden automatisch erzeugt:</w:t>
      </w:r>
      <w:r>
        <w:t xml:space="preserve"> </w:t>
      </w:r>
      <w:r>
        <w:t xml:space="preserve">- Konsolen-Output von CppUTest (TAP / JUnit XML)</w:t>
      </w:r>
      <w:r>
        <w:t xml:space="preserve"> </w:t>
      </w:r>
      <w:r>
        <w:t xml:space="preserve">- Coverage-HTML aus lcov</w:t>
      </w:r>
      <w:r>
        <w:t xml:space="preserve"> </w:t>
      </w:r>
      <w:r>
        <w:t xml:space="preserve">- Beides als CI-Artefakt unter</w:t>
      </w:r>
      <w:r>
        <w:t xml:space="preserve"> </w:t>
      </w:r>
      <w:r>
        <w:rPr>
          <w:rStyle w:val="VerbatimChar"/>
        </w:rPr>
        <w:t xml:space="preserve">tests/results/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2026-05-11T20:42:54Z</dcterms:created>
  <dcterms:modified xsi:type="dcterms:W3CDTF">2026-05-11T20:42:54Z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