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6" w:name="tool-qualification-cppcheck-misra-addon"/>
    <w:p>
      <w:pPr>
        <w:pStyle w:val="Heading1"/>
      </w:pPr>
      <w:r>
        <w:t xml:space="preserve">Tool-Qualification — Cppcheck + MISRA-Addon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Cppcheck mit MISRA-Addon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2.7+ (Linux apt) / 2.20.0 (Windows/macOS)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Hersteller</w:t>
            </w:r>
          </w:p>
        </w:tc>
        <w:tc>
          <w:tcPr/>
          <w:p>
            <w:pPr>
              <w:pStyle w:val="Compact"/>
            </w:pPr>
            <w:r>
              <w:t xml:space="preserve">Daniel Marjamaeki et al. 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Lizenz</w:t>
            </w:r>
          </w:p>
        </w:tc>
        <w:tc>
          <w:tcPr/>
          <w:p>
            <w:pPr>
              <w:pStyle w:val="Compact"/>
            </w:pPr>
            <w:r>
              <w:t xml:space="preserve">GPLv3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Verwendung</w:t>
            </w:r>
          </w:p>
        </w:tc>
        <w:tc>
          <w:tcPr/>
          <w:p>
            <w:pPr>
              <w:pStyle w:val="Compact"/>
            </w:pPr>
            <w:r>
              <w:t xml:space="preserve">Statische Analyse, MISRA-C:2012-Check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ISO 26262 Part 8 §11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Dieser Bericht qualifiziert Cppcheck mit MISRA-Addon fuer den Einsatz in der</w:t>
      </w:r>
      <w:r>
        <w:t xml:space="preserve"> </w:t>
      </w:r>
      <w:r>
        <w:t xml:space="preserve">demo-epb Entwicklung. Tool-Qualifikation nach ISO 26262-8 §11 ist</w:t>
      </w:r>
      <w:r>
        <w:t xml:space="preserve"> </w:t>
      </w:r>
      <w:r>
        <w:t xml:space="preserve">verpflichtend, wenn:</w:t>
      </w:r>
    </w:p>
    <w:p>
      <w:pPr>
        <w:pStyle w:val="Compact"/>
        <w:numPr>
          <w:ilvl w:val="0"/>
          <w:numId w:val="1001"/>
        </w:numPr>
      </w:pPr>
      <w:r>
        <w:t xml:space="preserve">Das Tool das Sicherheitsniveau der Software beeinflussen kann (TI &gt; 1)</w:t>
      </w:r>
    </w:p>
    <w:p>
      <w:pPr>
        <w:pStyle w:val="Compact"/>
        <w:numPr>
          <w:ilvl w:val="0"/>
          <w:numId w:val="1001"/>
        </w:numPr>
      </w:pPr>
      <w:r>
        <w:t xml:space="preserve">Das Tool keine Off-the-Shelf-Zertifizierung besitzt</w:t>
      </w:r>
    </w:p>
    <w:bookmarkEnd w:id="21"/>
    <w:bookmarkStart w:id="27" w:name="tool-klassifikation"/>
    <w:p>
      <w:pPr>
        <w:pStyle w:val="Heading2"/>
      </w:pPr>
      <w:r>
        <w:t xml:space="preserve">2. Tool-Klassifikation</w:t>
      </w:r>
    </w:p>
    <w:bookmarkStart w:id="22" w:name="use-cases"/>
    <w:p>
      <w:pPr>
        <w:pStyle w:val="Heading3"/>
      </w:pPr>
      <w:r>
        <w:t xml:space="preserve">2.1 Use Cases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3960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UC-ID</w:t>
            </w:r>
          </w:p>
        </w:tc>
        <w:tc>
          <w:tcPr/>
          <w:p>
            <w:pPr>
              <w:pStyle w:val="Compact"/>
            </w:pPr>
            <w:r>
              <w:t xml:space="preserve">Use Case</w:t>
            </w:r>
          </w:p>
        </w:tc>
        <w:tc>
          <w:tcPr/>
          <w:p>
            <w:pPr>
              <w:pStyle w:val="Compact"/>
            </w:pPr>
            <w:r>
              <w:t xml:space="preserve">Output verifiziert?</w:t>
            </w:r>
          </w:p>
        </w:tc>
      </w:tr>
      <w:tr>
        <w:tc>
          <w:tcPr/>
          <w:p>
            <w:pPr>
              <w:pStyle w:val="Compact"/>
            </w:pPr>
            <w:r>
              <w:t xml:space="preserve">UC-01</w:t>
            </w:r>
          </w:p>
        </w:tc>
        <w:tc>
          <w:tcPr/>
          <w:p>
            <w:pPr>
              <w:pStyle w:val="Compact"/>
            </w:pPr>
            <w:r>
              <w:t xml:space="preserve">Statische Analyse waehrend Build</w:t>
            </w:r>
          </w:p>
        </w:tc>
        <w:tc>
          <w:tcPr/>
          <w:p>
            <w:pPr>
              <w:pStyle w:val="Compact"/>
            </w:pPr>
            <w:r>
              <w:t xml:space="preserve">Per Review (CI-Log)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UC-02</w:t>
            </w:r>
          </w:p>
        </w:tc>
        <w:tc>
          <w:tcPr/>
          <w:p>
            <w:pPr>
              <w:pStyle w:val="Compact"/>
            </w:pPr>
            <w:r>
              <w:t xml:space="preserve">MISRA-C:2012-Konformitaetsbeleg</w:t>
            </w:r>
          </w:p>
        </w:tc>
        <w:tc>
          <w:tcPr/>
          <w:p>
            <w:pPr>
              <w:pStyle w:val="Compact"/>
            </w:pPr>
            <w:r>
              <w:t xml:space="preserve">Per Deviation-Records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UC-03</w:t>
            </w:r>
          </w:p>
        </w:tc>
        <w:tc>
          <w:tcPr/>
          <w:p>
            <w:pPr>
              <w:pStyle w:val="Compact"/>
            </w:pPr>
            <w:r>
              <w:t xml:space="preserve">Identifikation von Bugs</w:t>
            </w:r>
          </w:p>
        </w:tc>
        <w:tc>
          <w:tcPr/>
          <w:p>
            <w:pPr>
              <w:pStyle w:val="Compact"/>
            </w:pPr>
            <w:r>
              <w:t xml:space="preserve">Ergebnisse werden geprueft</w:t>
            </w:r>
          </w:p>
        </w:tc>
      </w:tr>
    </w:tbl>
    <w:bookmarkEnd w:id="22"/>
    <w:bookmarkStart w:id="23" w:name="tool-impact-ti"/>
    <w:p>
      <w:pPr>
        <w:pStyle w:val="Heading3"/>
      </w:pPr>
      <w:r>
        <w:t xml:space="preserve">2.2 Tool Impact (TI)</w:t>
      </w:r>
    </w:p>
    <w:p>
      <w:pPr>
        <w:pStyle w:val="FirstParagraph"/>
      </w:pPr>
      <w:r>
        <w:t xml:space="preserve">Definition nach ISO 26262-8 §11.4.5.1: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870"/>
        <w:gridCol w:w="10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Frage</w:t>
            </w:r>
          </w:p>
        </w:tc>
        <w:tc>
          <w:tcPr/>
          <w:p>
            <w:pPr>
              <w:pStyle w:val="Compact"/>
            </w:pPr>
            <w:r>
              <w:t xml:space="preserve">Antwort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Kann ein Fehler des Tools zur Verletzung einer Sicherheitsanforderung fuehren?</w:t>
            </w:r>
          </w:p>
        </w:tc>
        <w:tc>
          <w:tcPr/>
          <w:p>
            <w:pPr>
              <w:pStyle w:val="Compact"/>
            </w:pPr>
            <w:r>
              <w:t xml:space="preserve">Ja (Tool kann Bugs uebersehen)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Kann ein Fehler die Erkennung eines Bugs verhindern?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</w:tbl>
    <w:p>
      <w:pPr>
        <w:pStyle w:val="BodyText"/>
      </w:pPr>
      <w:r>
        <w:t xml:space="preserve">=&gt;</w:t>
      </w:r>
      <w:r>
        <w:t xml:space="preserve"> </w:t>
      </w:r>
      <w:r>
        <w:rPr>
          <w:b/>
          <w:bCs/>
        </w:rPr>
        <w:t xml:space="preserve">TI = TI2</w:t>
      </w:r>
      <w:r>
        <w:t xml:space="preserve"> </w:t>
      </w:r>
      <w:r>
        <w:t xml:space="preserve">(Tool kann Sicherheit beeinflussen)</w:t>
      </w:r>
    </w:p>
    <w:bookmarkEnd w:id="23"/>
    <w:bookmarkStart w:id="24" w:name="tool-error-detection-td"/>
    <w:p>
      <w:pPr>
        <w:pStyle w:val="Heading3"/>
      </w:pPr>
      <w:r>
        <w:t xml:space="preserve">2.3 Tool Error Detection (TD)</w:t>
      </w:r>
    </w:p>
    <w:p>
      <w:pPr>
        <w:pStyle w:val="FirstParagraph"/>
      </w:pPr>
      <w:r>
        <w:t xml:space="preserve">Definition nach ISO 26262-8 §11.4.5.4: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708"/>
        <w:gridCol w:w="121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Frage</w:t>
            </w:r>
          </w:p>
        </w:tc>
        <w:tc>
          <w:tcPr/>
          <w:p>
            <w:pPr>
              <w:pStyle w:val="Compact"/>
            </w:pPr>
            <w:r>
              <w:t xml:space="preserve">Antwort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Wird das Tool-Output durch andere Massnahmen verifiziert?</w:t>
            </w:r>
          </w:p>
        </w:tc>
        <w:tc>
          <w:tcPr/>
          <w:p>
            <w:pPr>
              <w:pStyle w:val="Compact"/>
            </w:pPr>
            <w:r>
              <w:t xml:space="preserve">Teilweise: Doppelgang via clang-tidy + Code-Review + Unit-Tests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Werden Bugs durch nachgelagerte Reviews / Tests erkannt?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</w:tbl>
    <w:p>
      <w:pPr>
        <w:pStyle w:val="BodyText"/>
      </w:pPr>
      <w:r>
        <w:t xml:space="preserve">=&gt;</w:t>
      </w:r>
      <w:r>
        <w:t xml:space="preserve"> </w:t>
      </w:r>
      <w:r>
        <w:rPr>
          <w:b/>
          <w:bCs/>
        </w:rPr>
        <w:t xml:space="preserve">TD = TD2</w:t>
      </w:r>
      <w:r>
        <w:t xml:space="preserve"> </w:t>
      </w:r>
      <w:r>
        <w:t xml:space="preserve">(Mittlere Detection-Wahrscheinlichkeit)</w:t>
      </w:r>
    </w:p>
    <w:bookmarkEnd w:id="24"/>
    <w:bookmarkStart w:id="25" w:name="tool-confidence-level-tcl"/>
    <w:p>
      <w:pPr>
        <w:pStyle w:val="Heading3"/>
      </w:pPr>
      <w:r>
        <w:t xml:space="preserve">2.4 Tool Confidence Level (TCL)</w:t>
      </w:r>
    </w:p>
    <w:p>
      <w:pPr>
        <w:pStyle w:val="FirstParagraph"/>
      </w:pPr>
      <w:r>
        <w:t xml:space="preserve">Mit TI2 + TD2 ergibt sich laut ISO 26262-8 Tabelle 4:</w:t>
      </w:r>
      <w:r>
        <w:t xml:space="preserve"> </w:t>
      </w:r>
      <w:r>
        <w:rPr>
          <w:b/>
          <w:bCs/>
        </w:rPr>
        <w:t xml:space="preserve">TCL2</w:t>
      </w:r>
      <w:r>
        <w:t xml:space="preserve">.</w:t>
      </w:r>
    </w:p>
    <w:bookmarkEnd w:id="25"/>
    <w:bookmarkStart w:id="26" w:name="qualification-method"/>
    <w:p>
      <w:pPr>
        <w:pStyle w:val="Heading3"/>
      </w:pPr>
      <w:r>
        <w:t xml:space="preserve">2.5 Qualification Method</w:t>
      </w:r>
    </w:p>
    <w:p>
      <w:pPr>
        <w:pStyle w:val="FirstParagraph"/>
      </w:pPr>
      <w:r>
        <w:t xml:space="preserve">Fuer TCL2 + ASIL-D ist eine</w:t>
      </w:r>
      <w:r>
        <w:t xml:space="preserve"> </w:t>
      </w:r>
      <w:r>
        <w:rPr>
          <w:b/>
          <w:bCs/>
        </w:rPr>
        <w:t xml:space="preserve">Tool-Qualifikation</w:t>
      </w:r>
      <w:r>
        <w:t xml:space="preserve"> </w:t>
      </w:r>
      <w:r>
        <w:t xml:space="preserve">notwendig (Tabelle 5).</w:t>
      </w:r>
      <w:r>
        <w:t xml:space="preserve"> </w:t>
      </w:r>
      <w:r>
        <w:t xml:space="preserve">Anwendbare Methoden:</w:t>
      </w:r>
    </w:p>
    <w:p>
      <w:pPr>
        <w:pStyle w:val="Compact"/>
        <w:numPr>
          <w:ilvl w:val="0"/>
          <w:numId w:val="1002"/>
        </w:numPr>
      </w:pPr>
      <w:r>
        <w:t xml:space="preserve">Increased confidence from use (§11.4.7) — fuer Cppcheck verfuegbar</w:t>
      </w:r>
    </w:p>
    <w:p>
      <w:pPr>
        <w:pStyle w:val="Compact"/>
        <w:numPr>
          <w:ilvl w:val="0"/>
          <w:numId w:val="1002"/>
        </w:numPr>
      </w:pPr>
      <w:r>
        <w:t xml:space="preserve">Evaluation of the tool development process (§11.4.8)</w:t>
      </w:r>
    </w:p>
    <w:p>
      <w:pPr>
        <w:pStyle w:val="Compact"/>
        <w:numPr>
          <w:ilvl w:val="0"/>
          <w:numId w:val="1002"/>
        </w:numPr>
      </w:pPr>
      <w:r>
        <w:t xml:space="preserve">Validation of the software tool (§11.4.9)</w:t>
      </w:r>
    </w:p>
    <w:p>
      <w:pPr>
        <w:pStyle w:val="FirstParagraph"/>
      </w:pPr>
      <w:r>
        <w:t xml:space="preserve">In diesem Projekt:</w:t>
      </w:r>
      <w:r>
        <w:t xml:space="preserve"> </w:t>
      </w:r>
      <w:r>
        <w:rPr>
          <w:b/>
          <w:bCs/>
        </w:rPr>
        <w:t xml:space="preserve">Increased Confidence from Use</w:t>
      </w:r>
      <w:r>
        <w:t xml:space="preserve">.</w:t>
      </w:r>
    </w:p>
    <w:bookmarkEnd w:id="26"/>
    <w:bookmarkEnd w:id="27"/>
    <w:bookmarkStart w:id="31" w:name="increased-confidence-from-use-evidenz"/>
    <w:p>
      <w:pPr>
        <w:pStyle w:val="Heading2"/>
      </w:pPr>
      <w:r>
        <w:t xml:space="preserve">3. Increased Confidence from Use — Evidenz</w:t>
      </w:r>
    </w:p>
    <w:bookmarkStart w:id="28" w:name="reifegrad-verbreitung"/>
    <w:p>
      <w:pPr>
        <w:pStyle w:val="Heading3"/>
      </w:pPr>
      <w:r>
        <w:t xml:space="preserve">3.1 Reifegrad / Verbreitung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Kriterium</w:t>
            </w:r>
          </w:p>
        </w:tc>
        <w:tc>
          <w:tcPr/>
          <w:p>
            <w:pPr>
              <w:pStyle w:val="Compact"/>
            </w:pPr>
            <w:r>
              <w:t xml:space="preserve">Bewertung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Tool-Alter</w:t>
            </w:r>
          </w:p>
        </w:tc>
        <w:tc>
          <w:tcPr/>
          <w:p>
            <w:pPr>
              <w:pStyle w:val="Compact"/>
            </w:pPr>
            <w:r>
              <w:t xml:space="preserve">&gt; 15 Jahre Entwicklung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Aktive Community</w:t>
            </w:r>
          </w:p>
        </w:tc>
        <w:tc>
          <w:tcPr/>
          <w:p>
            <w:pPr>
              <w:pStyle w:val="Compact"/>
            </w:pPr>
            <w:r>
              <w:t xml:space="preserve">&gt; 100 Contributors auf GitHub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Releases pro Jahr</w:t>
            </w:r>
          </w:p>
        </w:tc>
        <w:tc>
          <w:tcPr/>
          <w:p>
            <w:pPr>
              <w:pStyle w:val="Compact"/>
            </w:pPr>
            <w:r>
              <w:t xml:space="preserve">~6 Stable Releases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Bekannte Anwender im Automotive-Sektor</w:t>
            </w:r>
          </w:p>
        </w:tc>
        <w:tc>
          <w:tcPr/>
          <w:p>
            <w:pPr>
              <w:pStyle w:val="Compact"/>
            </w:pPr>
            <w:r>
              <w:t xml:space="preserve">Documented users incl. mehrere OEMs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Bug-Tracker</w:t>
            </w:r>
          </w:p>
        </w:tc>
        <w:tc>
          <w:tcPr/>
          <w:p>
            <w:pPr>
              <w:pStyle w:val="Compact"/>
            </w:pPr>
            <w:r>
              <w:t xml:space="preserve">Oeffentlich (GitHub Issues)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Test-Suite</w:t>
            </w:r>
          </w:p>
        </w:tc>
        <w:tc>
          <w:tcPr/>
          <w:p>
            <w:pPr>
              <w:pStyle w:val="Compact"/>
            </w:pPr>
            <w:r>
              <w:t xml:space="preserve">Eigene Self-Test-Suite, &gt; 5000 Tests</w:t>
            </w:r>
          </w:p>
        </w:tc>
      </w:tr>
    </w:tbl>
    <w:bookmarkEnd w:id="28"/>
    <w:bookmarkStart w:id="29" w:name="frueheren-einsatz-im-projekt-kontext"/>
    <w:p>
      <w:pPr>
        <w:pStyle w:val="Heading3"/>
      </w:pPr>
      <w:r>
        <w:t xml:space="preserve">3.2 Frueheren Einsatz im Projekt-Kontext</w:t>
      </w:r>
    </w:p>
    <w:p>
      <w:pPr>
        <w:pStyle w:val="FirstParagraph"/>
      </w:pPr>
      <w:r>
        <w:t xml:space="preserve">Cppcheck wird seit 2023 in slohmaier-Projekten fuer Static-Analysis-Builds</w:t>
      </w:r>
      <w:r>
        <w:t xml:space="preserve"> </w:t>
      </w:r>
      <w:r>
        <w:t xml:space="preserve">eingesetzt (Anekdotisch: ControlNav, BrailleKit). Keine bekannten Faelle, in</w:t>
      </w:r>
      <w:r>
        <w:t xml:space="preserve"> </w:t>
      </w:r>
      <w:r>
        <w:t xml:space="preserve">denen Cppcheck eine echte Sicherheitsverletzung uebersehen hat, die durch</w:t>
      </w:r>
      <w:r>
        <w:t xml:space="preserve"> </w:t>
      </w:r>
      <w:r>
        <w:t xml:space="preserve">Code-Review nicht doch noch gefunden wurde.</w:t>
      </w:r>
    </w:p>
    <w:bookmarkEnd w:id="29"/>
    <w:bookmarkStart w:id="30" w:name="validation-tests-im-projekt"/>
    <w:p>
      <w:pPr>
        <w:pStyle w:val="Heading3"/>
      </w:pPr>
      <w:r>
        <w:t xml:space="preserve">3.3 Validation-Tests im Projekt</w:t>
      </w:r>
    </w:p>
    <w:p>
      <w:pPr>
        <w:pStyle w:val="FirstParagraph"/>
      </w:pPr>
      <w:r>
        <w:t xml:space="preserve">Pro Build werden folgende Validierungs-Checks gegen Cppcheck durchgefuehrt: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15"/>
        <w:gridCol w:w="3025"/>
        <w:gridCol w:w="97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Erwartetes Verhalten</w:t>
            </w:r>
          </w:p>
        </w:tc>
        <w:tc>
          <w:tcPr/>
          <w:p>
            <w:pPr>
              <w:pStyle w:val="Compact"/>
            </w:pPr>
            <w:r>
              <w:t xml:space="preserve">Ergebnis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Eingebauter Test-Case</w:t>
            </w:r>
            <w:r>
              <w:t xml:space="preserve"> </w:t>
            </w:r>
            <w:r>
              <w:rPr>
                <w:rStyle w:val="VerbatimChar"/>
              </w:rPr>
              <w:t xml:space="preserve">tests/validation_cppcheck.c</w:t>
            </w:r>
            <w:r>
              <w:t xml:space="preserve"> </w:t>
            </w:r>
            <w:r>
              <w:t xml:space="preserve">mit bewusst injiziertem Bug</w:t>
            </w:r>
          </w:p>
        </w:tc>
        <w:tc>
          <w:tcPr/>
          <w:p>
            <w:pPr>
              <w:pStyle w:val="Compact"/>
            </w:pPr>
            <w:r>
              <w:t xml:space="preserve">Cppcheck erkennt</w:t>
            </w:r>
          </w:p>
        </w:tc>
        <w:tc>
          <w:tcPr/>
          <w:p>
            <w:pPr>
              <w:pStyle w:val="Compact"/>
            </w:pPr>
            <w:r>
              <w:t xml:space="preserve">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Cppcheck-Output ist deterministisch</w:t>
            </w:r>
          </w:p>
        </w:tc>
        <w:tc>
          <w:tcPr/>
          <w:p>
            <w:pPr>
              <w:pStyle w:val="Compact"/>
            </w:pPr>
            <w:r>
              <w:t xml:space="preserve">Wiederholte Laeufe == identisch</w:t>
            </w:r>
          </w:p>
        </w:tc>
        <w:tc>
          <w:tcPr/>
          <w:p>
            <w:pPr>
              <w:pStyle w:val="Compact"/>
            </w:pPr>
            <w:r>
              <w:t xml:space="preserve">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MISRA-Regeln werden gegen Referenz-Set geprueft</w:t>
            </w:r>
          </w:p>
        </w:tc>
        <w:tc>
          <w:tcPr/>
          <w:p>
            <w:pPr>
              <w:pStyle w:val="Compact"/>
            </w:pPr>
            <w:r>
              <w:t xml:space="preserve">Erkennung min. 95% required-Regeln</w:t>
            </w:r>
          </w:p>
        </w:tc>
        <w:tc>
          <w:tcPr/>
          <w:p>
            <w:pPr>
              <w:pStyle w:val="Compact"/>
            </w:pPr>
            <w:r>
              <w:t xml:space="preserve">OK</w:t>
            </w:r>
          </w:p>
        </w:tc>
      </w:tr>
    </w:tbl>
    <w:bookmarkEnd w:id="30"/>
    <w:bookmarkEnd w:id="31"/>
    <w:bookmarkStart w:id="32" w:name="bekannte-einschraenkungen"/>
    <w:p>
      <w:pPr>
        <w:pStyle w:val="Heading2"/>
      </w:pPr>
      <w:r>
        <w:t xml:space="preserve">4. Bekannte Einschraenkungen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Einschraenkung</w:t>
            </w:r>
          </w:p>
        </w:tc>
        <w:tc>
          <w:tcPr/>
          <w:p>
            <w:pPr>
              <w:pStyle w:val="Compac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MISRA-Addon implementiert nicht alle 175 Regeln vollstaendig</w:t>
            </w:r>
          </w:p>
        </w:tc>
        <w:tc>
          <w:tcPr/>
          <w:p>
            <w:pPr>
              <w:pStyle w:val="Compact"/>
            </w:pPr>
            <w:r>
              <w:t xml:space="preserve">Manuelle Review-Checklisten fuer fehlende Regeln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Geringere Erkennungsrate bei Heap-Bugs</w:t>
            </w:r>
          </w:p>
        </w:tc>
        <w:tc>
          <w:tcPr/>
          <w:p>
            <w:pPr>
              <w:pStyle w:val="Compact"/>
            </w:pPr>
            <w:r>
              <w:t xml:space="preserve">Keine Heap-Nutzung im Projekt (MISRA 21.3)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False Positives bei komplexen Pointer-Aliasen</w:t>
            </w:r>
          </w:p>
        </w:tc>
        <w:tc>
          <w:tcPr/>
          <w:p>
            <w:pPr>
              <w:pStyle w:val="Compact"/>
            </w:pPr>
            <w:r>
              <w:t xml:space="preserve">Deviation-Records pro Fall</w:t>
            </w:r>
          </w:p>
        </w:tc>
      </w:tr>
    </w:tbl>
    <w:bookmarkEnd w:id="32"/>
    <w:bookmarkStart w:id="33" w:name="qualification-verdict"/>
    <w:p>
      <w:pPr>
        <w:pStyle w:val="Heading2"/>
      </w:pPr>
      <w:r>
        <w:t xml:space="preserve">5. Qualification-Verdict</w:t>
      </w:r>
    </w:p>
    <w:p>
      <w:pPr>
        <w:pStyle w:val="FirstParagraph"/>
      </w:pPr>
      <w:r>
        <w:t xml:space="preserve">Cppcheck mit MISRA-Addon ist</w:t>
      </w:r>
      <w:r>
        <w:t xml:space="preserve"> </w:t>
      </w:r>
      <w:r>
        <w:rPr>
          <w:b/>
          <w:bCs/>
        </w:rPr>
        <w:t xml:space="preserve">qualifiziert</w:t>
      </w:r>
      <w:r>
        <w:t xml:space="preserve"> </w:t>
      </w:r>
      <w:r>
        <w:t xml:space="preserve">fuer den Einsatz in demo-epb mit</w:t>
      </w:r>
      <w:r>
        <w:t xml:space="preserve"> </w:t>
      </w:r>
      <w:r>
        <w:t xml:space="preserve">TCL2 ASIL-D, basierend auf</w:t>
      </w:r>
      <w:r>
        <w:t xml:space="preserve"> </w:t>
      </w:r>
      <w:r>
        <w:t xml:space="preserve">“Increased Confidence from Use”</w:t>
      </w:r>
      <w:r>
        <w:t xml:space="preserve">.</w:t>
      </w:r>
    </w:p>
    <w:p>
      <w:pPr>
        <w:pStyle w:val="BodyText"/>
      </w:pPr>
      <w:r>
        <w:t xml:space="preserve">Diese Qualifikation gilt fuer die Version 2.7+ auf Linux (CI) und Version</w:t>
      </w:r>
      <w:r>
        <w:t xml:space="preserve"> </w:t>
      </w:r>
      <w:r>
        <w:t xml:space="preserve">2.20.0 auf macOS/Windows (Entwickler-Workstations). Bei Tool-Update muss die</w:t>
      </w:r>
      <w:r>
        <w:t xml:space="preserve"> </w:t>
      </w:r>
      <w:r>
        <w:t xml:space="preserve">Validierung wiederholt werden (Regression-Suite).</w:t>
      </w:r>
    </w:p>
    <w:bookmarkEnd w:id="33"/>
    <w:bookmarkStart w:id="34" w:name="geltungsbereich"/>
    <w:p>
      <w:pPr>
        <w:pStyle w:val="Heading2"/>
      </w:pPr>
      <w:r>
        <w:t xml:space="preserve">6. Geltungsbereich</w:t>
      </w:r>
    </w:p>
    <w:p>
      <w:pPr>
        <w:pStyle w:val="FirstParagraph"/>
      </w:pPr>
      <w:r>
        <w:t xml:space="preserve">Diese Tool-Qualifikation gilt</w:t>
      </w:r>
      <w:r>
        <w:t xml:space="preserve"> </w:t>
      </w:r>
      <w:r>
        <w:rPr>
          <w:b/>
          <w:bCs/>
        </w:rPr>
        <w:t xml:space="preserve">nur</w:t>
      </w:r>
      <w:r>
        <w:t xml:space="preserve"> </w:t>
      </w:r>
      <w:r>
        <w:t xml:space="preserve">fuer:</w:t>
      </w:r>
      <w:r>
        <w:t xml:space="preserve"> </w:t>
      </w:r>
      <w:r>
        <w:t xml:space="preserve">- Projekt: demo-epb</w:t>
      </w:r>
      <w:r>
        <w:t xml:space="preserve"> </w:t>
      </w:r>
      <w:r>
        <w:t xml:space="preserve">- ASIL: bis D</w:t>
      </w:r>
      <w:r>
        <w:t xml:space="preserve"> </w:t>
      </w:r>
      <w:r>
        <w:t xml:space="preserve">- Verwendung: statische Analyse + MISRA-Check (CI + lokal)</w:t>
      </w:r>
      <w:r>
        <w:t xml:space="preserve"> </w:t>
      </w:r>
      <w:r>
        <w:t xml:space="preserve">- Tool-Versionen: 2.7+ Linux / 2.20.0 macOS+Windows</w:t>
      </w:r>
    </w:p>
    <w:bookmarkEnd w:id="34"/>
    <w:bookmarkStart w:id="35" w:name="aenderungshistorie"/>
    <w:p>
      <w:pPr>
        <w:pStyle w:val="Heading2"/>
      </w:pPr>
      <w:r>
        <w:t xml:space="preserve">7.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5"/>
    <w:bookmarkEnd w:id="36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SLM-EPB-TQ-Cppcheck-001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