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6" w:name="tool-qualification-cppcheck-misra-addon"/>
    <w:p>
      <w:pPr>
        <w:pStyle w:val="Heading1"/>
      </w:pPr>
      <w:r>
        <w:t xml:space="preserve">Tool Qualification — Cppcheck + MISRA addon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Cppcheck with MISRA addon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2.7+ (Linux apt) / 2.20.0 (Windows/macOS)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Daniel Marjamäki et al. 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Licence</w:t>
            </w:r>
          </w:p>
        </w:tc>
        <w:tc>
          <w:tcPr/>
          <w:p>
            <w:pPr>
              <w:pStyle w:val="Compact"/>
            </w:pPr>
            <w:r>
              <w:t xml:space="preserve">GPLv3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</w:t>
            </w:r>
          </w:p>
        </w:tc>
        <w:tc>
          <w:tcPr/>
          <w:p>
            <w:pPr>
              <w:pStyle w:val="Compact"/>
            </w:pPr>
            <w:r>
              <w:t xml:space="preserve">Static analysis, MISRA C:2012 check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ISO 26262 Part 8 §11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report qualifies Cppcheck with the MISRA addon for use in demo-epb development. Tool qualification per ISO 26262-8 §11 is mandatory when:</w:t>
      </w:r>
    </w:p>
    <w:p>
      <w:pPr>
        <w:pStyle w:val="Compact"/>
        <w:numPr>
          <w:ilvl w:val="0"/>
          <w:numId w:val="1001"/>
        </w:numPr>
      </w:pPr>
      <w:r>
        <w:t xml:space="preserve">The tool can influence the safety level of the software (TI &gt; 1)</w:t>
      </w:r>
    </w:p>
    <w:p>
      <w:pPr>
        <w:pStyle w:val="Compact"/>
        <w:numPr>
          <w:ilvl w:val="0"/>
          <w:numId w:val="1001"/>
        </w:numPr>
      </w:pPr>
      <w:r>
        <w:t xml:space="preserve">The tool lacks off-the-shelf certification</w:t>
      </w:r>
    </w:p>
    <w:bookmarkEnd w:id="21"/>
    <w:bookmarkStart w:id="27" w:name="tool-classification"/>
    <w:p>
      <w:pPr>
        <w:pStyle w:val="Heading2"/>
      </w:pPr>
      <w:r>
        <w:t xml:space="preserve">2. Tool classification</w:t>
      </w:r>
    </w:p>
    <w:bookmarkStart w:id="22" w:name="use-cases"/>
    <w:p>
      <w:pPr>
        <w:pStyle w:val="Heading3"/>
      </w:pPr>
      <w:r>
        <w:t xml:space="preserve">2.1 Use cases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3960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UC-ID</w:t>
            </w:r>
          </w:p>
        </w:tc>
        <w:tc>
          <w:tcPr/>
          <w:p>
            <w:pPr>
              <w:pStyle w:val="Compact"/>
            </w:pPr>
            <w:r>
              <w:t xml:space="preserve">Use case</w:t>
            </w:r>
          </w:p>
        </w:tc>
        <w:tc>
          <w:tcPr/>
          <w:p>
            <w:pPr>
              <w:pStyle w:val="Compact"/>
            </w:pPr>
            <w:r>
              <w:t xml:space="preserve">Output verified?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UC-01</w:t>
            </w:r>
          </w:p>
        </w:tc>
        <w:tc>
          <w:tcPr/>
          <w:p>
            <w:pPr>
              <w:pStyle w:val="Compact"/>
            </w:pPr>
            <w:r>
              <w:t xml:space="preserve">Static analysis during build</w:t>
            </w:r>
          </w:p>
        </w:tc>
        <w:tc>
          <w:tcPr/>
          <w:p>
            <w:pPr>
              <w:pStyle w:val="Compact"/>
            </w:pPr>
            <w:r>
              <w:t xml:space="preserve">Via review (CI log)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UC-02</w:t>
            </w:r>
          </w:p>
        </w:tc>
        <w:tc>
          <w:tcPr/>
          <w:p>
            <w:pPr>
              <w:pStyle w:val="Compact"/>
            </w:pPr>
            <w:r>
              <w:t xml:space="preserve">MISRA C:2012 compliance evidence</w:t>
            </w:r>
          </w:p>
        </w:tc>
        <w:tc>
          <w:tcPr/>
          <w:p>
            <w:pPr>
              <w:pStyle w:val="Compact"/>
            </w:pPr>
            <w:r>
              <w:t xml:space="preserve">Via deviation records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UC-03</w:t>
            </w:r>
          </w:p>
        </w:tc>
        <w:tc>
          <w:tcPr/>
          <w:p>
            <w:pPr>
              <w:pStyle w:val="Compact"/>
            </w:pPr>
            <w:r>
              <w:t xml:space="preserve">Bug identification</w:t>
            </w:r>
          </w:p>
        </w:tc>
        <w:tc>
          <w:tcPr/>
          <w:p>
            <w:pPr>
              <w:pStyle w:val="Compact"/>
            </w:pPr>
            <w:r>
              <w:t xml:space="preserve">Findings are reviewed</w:t>
            </w:r>
          </w:p>
        </w:tc>
      </w:tr>
    </w:tbl>
    <w:bookmarkEnd w:id="22"/>
    <w:bookmarkStart w:id="23" w:name="tool-impact-ti"/>
    <w:p>
      <w:pPr>
        <w:pStyle w:val="Heading3"/>
      </w:pPr>
      <w:r>
        <w:t xml:space="preserve">2.2 Tool Impact (TI)</w:t>
      </w:r>
    </w:p>
    <w:p>
      <w:pPr>
        <w:pStyle w:val="FirstParagraph"/>
      </w:pPr>
      <w:r>
        <w:t xml:space="preserve">Definition per ISO 26262-8 §11.4.5.1: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870"/>
        <w:gridCol w:w="10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Answer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 a tool error lead to a violation of a safety requirement?</w:t>
            </w:r>
          </w:p>
        </w:tc>
        <w:tc>
          <w:tcPr/>
          <w:p>
            <w:pPr>
              <w:pStyle w:val="Compact"/>
            </w:pPr>
            <w:r>
              <w:t xml:space="preserve">Yes (the tool may miss bugs)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 a tool error prevent detection of a bug?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⇒</w:t>
      </w:r>
      <w:r>
        <w:t xml:space="preserve"> </w:t>
      </w:r>
      <w:r>
        <w:rPr>
          <w:b/>
          <w:bCs/>
        </w:rPr>
        <w:t xml:space="preserve">TI = TI2</w:t>
      </w:r>
      <w:r>
        <w:t xml:space="preserve"> </w:t>
      </w:r>
      <w:r>
        <w:t xml:space="preserve">(the tool can influence safety)</w:t>
      </w:r>
    </w:p>
    <w:bookmarkEnd w:id="23"/>
    <w:bookmarkStart w:id="24" w:name="tool-error-detection-td"/>
    <w:p>
      <w:pPr>
        <w:pStyle w:val="Heading3"/>
      </w:pPr>
      <w:r>
        <w:t xml:space="preserve">2.3 Tool Error Detection (TD)</w:t>
      </w:r>
    </w:p>
    <w:p>
      <w:pPr>
        <w:pStyle w:val="FirstParagraph"/>
      </w:pPr>
      <w:r>
        <w:t xml:space="preserve">Definition per ISO 26262-8 §11.4.5.4: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630"/>
        <w:gridCol w:w="128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Answer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 the tool output verified by other measures?</w:t>
            </w:r>
          </w:p>
        </w:tc>
        <w:tc>
          <w:tcPr/>
          <w:p>
            <w:pPr>
              <w:pStyle w:val="Compact"/>
            </w:pPr>
            <w:r>
              <w:t xml:space="preserve">Partially: redundant via clang-tidy + code review + unit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Are bugs detected by downstream reviews / tests?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⇒</w:t>
      </w:r>
      <w:r>
        <w:t xml:space="preserve"> </w:t>
      </w:r>
      <w:r>
        <w:rPr>
          <w:b/>
          <w:bCs/>
        </w:rPr>
        <w:t xml:space="preserve">TD = TD2</w:t>
      </w:r>
      <w:r>
        <w:t xml:space="preserve"> </w:t>
      </w:r>
      <w:r>
        <w:t xml:space="preserve">(medium detection probability)</w:t>
      </w:r>
    </w:p>
    <w:bookmarkEnd w:id="24"/>
    <w:bookmarkStart w:id="25" w:name="tool-confidence-level-tcl"/>
    <w:p>
      <w:pPr>
        <w:pStyle w:val="Heading3"/>
      </w:pPr>
      <w:r>
        <w:t xml:space="preserve">2.4 Tool Confidence Level (TCL)</w:t>
      </w:r>
    </w:p>
    <w:p>
      <w:pPr>
        <w:pStyle w:val="FirstParagraph"/>
      </w:pPr>
      <w:r>
        <w:t xml:space="preserve">With TI2 + TD2 we obtain per ISO 26262-8 Table 4:</w:t>
      </w:r>
      <w:r>
        <w:t xml:space="preserve"> </w:t>
      </w:r>
      <w:r>
        <w:rPr>
          <w:b/>
          <w:bCs/>
        </w:rPr>
        <w:t xml:space="preserve">TCL2</w:t>
      </w:r>
      <w:r>
        <w:t xml:space="preserve">.</w:t>
      </w:r>
    </w:p>
    <w:bookmarkEnd w:id="25"/>
    <w:bookmarkStart w:id="26" w:name="qualification-method"/>
    <w:p>
      <w:pPr>
        <w:pStyle w:val="Heading3"/>
      </w:pPr>
      <w:r>
        <w:t xml:space="preserve">2.5 Qualification method</w:t>
      </w:r>
    </w:p>
    <w:p>
      <w:pPr>
        <w:pStyle w:val="FirstParagraph"/>
      </w:pPr>
      <w:r>
        <w:t xml:space="preserve">For TCL2 + ASIL-D, a</w:t>
      </w:r>
      <w:r>
        <w:t xml:space="preserve"> </w:t>
      </w:r>
      <w:r>
        <w:rPr>
          <w:b/>
          <w:bCs/>
        </w:rPr>
        <w:t xml:space="preserve">tool qualification</w:t>
      </w:r>
      <w:r>
        <w:t xml:space="preserve"> </w:t>
      </w:r>
      <w:r>
        <w:t xml:space="preserve">is required (Table 5). Applicable methods:</w:t>
      </w:r>
    </w:p>
    <w:p>
      <w:pPr>
        <w:pStyle w:val="Compact"/>
        <w:numPr>
          <w:ilvl w:val="0"/>
          <w:numId w:val="1002"/>
        </w:numPr>
      </w:pPr>
      <w:r>
        <w:t xml:space="preserve">Increased confidence from use (§11.4.7) — available for Cppcheck</w:t>
      </w:r>
    </w:p>
    <w:p>
      <w:pPr>
        <w:pStyle w:val="Compact"/>
        <w:numPr>
          <w:ilvl w:val="0"/>
          <w:numId w:val="1002"/>
        </w:numPr>
      </w:pPr>
      <w:r>
        <w:t xml:space="preserve">Evaluation of the tool development process (§11.4.8)</w:t>
      </w:r>
    </w:p>
    <w:p>
      <w:pPr>
        <w:pStyle w:val="Compact"/>
        <w:numPr>
          <w:ilvl w:val="0"/>
          <w:numId w:val="1002"/>
        </w:numPr>
      </w:pPr>
      <w:r>
        <w:t xml:space="preserve">Validation of the software tool (§11.4.9)</w:t>
      </w:r>
    </w:p>
    <w:p>
      <w:pPr>
        <w:pStyle w:val="FirstParagraph"/>
      </w:pPr>
      <w:r>
        <w:t xml:space="preserve">In this project:</w:t>
      </w:r>
      <w:r>
        <w:t xml:space="preserve"> </w:t>
      </w:r>
      <w:r>
        <w:rPr>
          <w:b/>
          <w:bCs/>
        </w:rPr>
        <w:t xml:space="preserve">Increased Confidence from Use</w:t>
      </w:r>
      <w:r>
        <w:t xml:space="preserve">.</w:t>
      </w:r>
    </w:p>
    <w:bookmarkEnd w:id="26"/>
    <w:bookmarkEnd w:id="27"/>
    <w:bookmarkStart w:id="31" w:name="increased-confidence-from-use-evidence"/>
    <w:p>
      <w:pPr>
        <w:pStyle w:val="Heading2"/>
      </w:pPr>
      <w:r>
        <w:t xml:space="preserve">3. Increased Confidence from Use — evidence</w:t>
      </w:r>
    </w:p>
    <w:bookmarkStart w:id="28" w:name="maturity-adoption"/>
    <w:p>
      <w:pPr>
        <w:pStyle w:val="Heading3"/>
      </w:pPr>
      <w:r>
        <w:t xml:space="preserve">3.1 Maturity / adoption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863"/>
        <w:gridCol w:w="405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Tool age</w:t>
            </w:r>
          </w:p>
        </w:tc>
        <w:tc>
          <w:tcPr/>
          <w:p>
            <w:pPr>
              <w:pStyle w:val="Compact"/>
            </w:pPr>
            <w:r>
              <w:t xml:space="preserve">&gt; 15 years of development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Active community</w:t>
            </w:r>
          </w:p>
        </w:tc>
        <w:tc>
          <w:tcPr/>
          <w:p>
            <w:pPr>
              <w:pStyle w:val="Compact"/>
            </w:pPr>
            <w:r>
              <w:t xml:space="preserve">&gt; 100 contributors on GitHub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Releases per year</w:t>
            </w:r>
          </w:p>
        </w:tc>
        <w:tc>
          <w:tcPr/>
          <w:p>
            <w:pPr>
              <w:pStyle w:val="Compact"/>
            </w:pPr>
            <w:r>
              <w:t xml:space="preserve">~6 stable releases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Known automotive users</w:t>
            </w:r>
          </w:p>
        </w:tc>
        <w:tc>
          <w:tcPr/>
          <w:p>
            <w:pPr>
              <w:pStyle w:val="Compact"/>
            </w:pPr>
            <w:r>
              <w:t xml:space="preserve">Documented users including several OEMs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Bug tracker</w:t>
            </w:r>
          </w:p>
        </w:tc>
        <w:tc>
          <w:tcPr/>
          <w:p>
            <w:pPr>
              <w:pStyle w:val="Compact"/>
            </w:pPr>
            <w:r>
              <w:t xml:space="preserve">Public (GitHub Issues)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suite</w:t>
            </w:r>
          </w:p>
        </w:tc>
        <w:tc>
          <w:tcPr/>
          <w:p>
            <w:pPr>
              <w:pStyle w:val="Compact"/>
            </w:pPr>
            <w:r>
              <w:t xml:space="preserve">Own self-test suite, &gt; 5000 tests</w:t>
            </w:r>
          </w:p>
        </w:tc>
      </w:tr>
    </w:tbl>
    <w:bookmarkEnd w:id="28"/>
    <w:bookmarkStart w:id="29" w:name="prior-use-in-project-context"/>
    <w:p>
      <w:pPr>
        <w:pStyle w:val="Heading3"/>
      </w:pPr>
      <w:r>
        <w:t xml:space="preserve">3.2 Prior use in project context</w:t>
      </w:r>
    </w:p>
    <w:p>
      <w:pPr>
        <w:pStyle w:val="FirstParagraph"/>
      </w:pPr>
      <w:r>
        <w:t xml:space="preserve">Cppcheck has been used since 2023 in slohmaier projects for static-analysis builds (anecdotally: ControlNav, BrailleKit). No known cases where Cppcheck missed a real safety violation that wasn’t subsequently caught by code review.</w:t>
      </w:r>
    </w:p>
    <w:bookmarkEnd w:id="29"/>
    <w:bookmarkStart w:id="30" w:name="validation-tests-in-project"/>
    <w:p>
      <w:pPr>
        <w:pStyle w:val="Heading3"/>
      </w:pPr>
      <w:r>
        <w:t xml:space="preserve">3.3 Validation tests in project</w:t>
      </w:r>
    </w:p>
    <w:p>
      <w:pPr>
        <w:pStyle w:val="FirstParagraph"/>
      </w:pPr>
      <w:r>
        <w:t xml:space="preserve">Each build performs the following validation checks against Cppcheck: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15"/>
        <w:gridCol w:w="3025"/>
        <w:gridCol w:w="97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Expected behaviour</w:t>
            </w:r>
          </w:p>
        </w:tc>
        <w:tc>
          <w:tcPr/>
          <w:p>
            <w:pPr>
              <w:pStyle w:val="Compac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Built-in test case</w:t>
            </w:r>
            <w:r>
              <w:t xml:space="preserve"> </w:t>
            </w:r>
            <w:r>
              <w:rPr>
                <w:rStyle w:val="VerbatimChar"/>
              </w:rPr>
              <w:t xml:space="preserve">tests/validation_cppcheck.c</w:t>
            </w:r>
            <w:r>
              <w:t xml:space="preserve"> </w:t>
            </w:r>
            <w:r>
              <w:t xml:space="preserve">with intentionally injected bug</w:t>
            </w:r>
          </w:p>
        </w:tc>
        <w:tc>
          <w:tcPr/>
          <w:p>
            <w:pPr>
              <w:pStyle w:val="Compact"/>
            </w:pPr>
            <w:r>
              <w:t xml:space="preserve">Cppcheck detects it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Cppcheck output is deterministic</w:t>
            </w:r>
          </w:p>
        </w:tc>
        <w:tc>
          <w:tcPr/>
          <w:p>
            <w:pPr>
              <w:pStyle w:val="Compact"/>
            </w:pPr>
            <w:r>
              <w:t xml:space="preserve">Repeated runs == identical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rules checked against reference set</w:t>
            </w:r>
          </w:p>
        </w:tc>
        <w:tc>
          <w:tcPr/>
          <w:p>
            <w:pPr>
              <w:pStyle w:val="Compact"/>
            </w:pPr>
            <w:r>
              <w:t xml:space="preserve">Detection ≥ 95% required rules</w:t>
            </w:r>
          </w:p>
        </w:tc>
        <w:tc>
          <w:tcPr/>
          <w:p>
            <w:pPr>
              <w:pStyle w:val="Compact"/>
            </w:pPr>
            <w:r>
              <w:t xml:space="preserve">OK</w:t>
            </w:r>
          </w:p>
        </w:tc>
      </w:tr>
    </w:tbl>
    <w:bookmarkEnd w:id="30"/>
    <w:bookmarkEnd w:id="31"/>
    <w:bookmarkStart w:id="32" w:name="known-limitations"/>
    <w:p>
      <w:pPr>
        <w:pStyle w:val="Heading2"/>
      </w:pPr>
      <w:r>
        <w:t xml:space="preserve">4. Known limitations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823"/>
        <w:gridCol w:w="409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Limitation</w:t>
            </w:r>
          </w:p>
        </w:tc>
        <w:tc>
          <w:tcPr/>
          <w:p>
            <w:pPr>
              <w:pStyle w:val="Compac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addon does not implement all 175 rules completely</w:t>
            </w:r>
          </w:p>
        </w:tc>
        <w:tc>
          <w:tcPr/>
          <w:p>
            <w:pPr>
              <w:pStyle w:val="Compact"/>
            </w:pPr>
            <w:r>
              <w:t xml:space="preserve">Manual review checklists for missing rules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Lower detection rate for heap bugs</w:t>
            </w:r>
          </w:p>
        </w:tc>
        <w:tc>
          <w:tcPr/>
          <w:p>
            <w:pPr>
              <w:pStyle w:val="Compact"/>
            </w:pPr>
            <w:r>
              <w:t xml:space="preserve">No heap usage in this project (MISRA 21.3)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False positives on complex pointer aliasing</w:t>
            </w:r>
          </w:p>
        </w:tc>
        <w:tc>
          <w:tcPr/>
          <w:p>
            <w:pPr>
              <w:pStyle w:val="Compact"/>
            </w:pPr>
            <w:r>
              <w:t xml:space="preserve">Per-instance deviation records</w:t>
            </w:r>
          </w:p>
        </w:tc>
      </w:tr>
    </w:tbl>
    <w:bookmarkEnd w:id="32"/>
    <w:bookmarkStart w:id="33" w:name="qualification-verdict"/>
    <w:p>
      <w:pPr>
        <w:pStyle w:val="Heading2"/>
      </w:pPr>
      <w:r>
        <w:t xml:space="preserve">5. Qualification verdict</w:t>
      </w:r>
    </w:p>
    <w:p>
      <w:pPr>
        <w:pStyle w:val="FirstParagraph"/>
      </w:pPr>
      <w:r>
        <w:t xml:space="preserve">Cppcheck with the MISRA addon is</w:t>
      </w:r>
      <w:r>
        <w:t xml:space="preserve"> </w:t>
      </w:r>
      <w:r>
        <w:rPr>
          <w:b/>
          <w:bCs/>
        </w:rPr>
        <w:t xml:space="preserve">qualified</w:t>
      </w:r>
      <w:r>
        <w:t xml:space="preserve"> </w:t>
      </w:r>
      <w:r>
        <w:t xml:space="preserve">for use in demo-epb at TCL2 ASIL-D, based on</w:t>
      </w:r>
      <w:r>
        <w:t xml:space="preserve"> </w:t>
      </w:r>
      <w:r>
        <w:t xml:space="preserve">“Increased Confidence from Use”</w:t>
      </w:r>
      <w:r>
        <w:t xml:space="preserve">.</w:t>
      </w:r>
    </w:p>
    <w:p>
      <w:pPr>
        <w:pStyle w:val="BodyText"/>
      </w:pPr>
      <w:r>
        <w:t xml:space="preserve">This qualification applies to version 2.7+ on Linux (CI) and version 2.20.0 on macOS/Windows (developer workstations). On tool update the validation must be repeated (regression suite).</w:t>
      </w:r>
    </w:p>
    <w:bookmarkEnd w:id="33"/>
    <w:bookmarkStart w:id="34" w:name="scope"/>
    <w:p>
      <w:pPr>
        <w:pStyle w:val="Heading2"/>
      </w:pPr>
      <w:r>
        <w:t xml:space="preserve">6. Scope</w:t>
      </w:r>
    </w:p>
    <w:p>
      <w:pPr>
        <w:pStyle w:val="FirstParagraph"/>
      </w:pPr>
      <w:r>
        <w:t xml:space="preserve">This tool qualification applies</w:t>
      </w:r>
      <w:r>
        <w:t xml:space="preserve"> </w:t>
      </w:r>
      <w:r>
        <w:rPr>
          <w:b/>
          <w:bCs/>
        </w:rPr>
        <w:t xml:space="preserve">only</w:t>
      </w:r>
      <w:r>
        <w:t xml:space="preserve"> </w:t>
      </w:r>
      <w:r>
        <w:t xml:space="preserve">to:</w:t>
      </w:r>
      <w:r>
        <w:t xml:space="preserve"> </w:t>
      </w:r>
      <w:r>
        <w:t xml:space="preserve">- Project: demo-epb</w:t>
      </w:r>
      <w:r>
        <w:t xml:space="preserve"> </w:t>
      </w:r>
      <w:r>
        <w:t xml:space="preserve">- ASIL: up to D</w:t>
      </w:r>
      <w:r>
        <w:t xml:space="preserve"> </w:t>
      </w:r>
      <w:r>
        <w:t xml:space="preserve">- Use: static analysis + MISRA check (CI + local)</w:t>
      </w:r>
      <w:r>
        <w:t xml:space="preserve"> </w:t>
      </w:r>
      <w:r>
        <w:t xml:space="preserve">- Tool versions: 2.7+ Linux / 2.20.0 macOS+Windows</w:t>
      </w:r>
    </w:p>
    <w:bookmarkEnd w:id="34"/>
    <w:bookmarkStart w:id="35" w:name="revision-history"/>
    <w:p>
      <w:pPr>
        <w:pStyle w:val="Heading2"/>
      </w:pPr>
      <w:r>
        <w:t xml:space="preserve">7.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5"/>
    <w:bookmarkEnd w:id="36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SLM-EPB-TQ-Cppcheck-001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