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quality-assurance-plan-qa-plan"/>
    <w:p>
      <w:pPr>
        <w:pStyle w:val="Heading1"/>
      </w:pPr>
      <w:r>
        <w:t xml:space="preserve">Quality Assurance Plan (QA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quality-goals"/>
    <w:p>
      <w:pPr>
        <w:pStyle w:val="Heading2"/>
      </w:pPr>
      <w:r>
        <w:t xml:space="preserve">1. Quality goals</w:t>
      </w:r>
    </w:p>
    <w:p>
      <w:pPr>
        <w:pStyle w:val="Compact"/>
        <w:numPr>
          <w:ilvl w:val="0"/>
          <w:numId w:val="1001"/>
        </w:numPr>
      </w:pPr>
      <w:r>
        <w:t xml:space="preserve">Complete traceability: SYS → SA → SWE → SWA → Code → Test</w:t>
      </w:r>
    </w:p>
    <w:p>
      <w:pPr>
        <w:pStyle w:val="Compact"/>
        <w:numPr>
          <w:ilvl w:val="0"/>
          <w:numId w:val="1001"/>
        </w:numPr>
      </w:pPr>
      <w:r>
        <w:t xml:space="preserve">0 MISRA Required violations (deviations documented)</w:t>
      </w:r>
    </w:p>
    <w:p>
      <w:pPr>
        <w:pStyle w:val="Compact"/>
        <w:numPr>
          <w:ilvl w:val="0"/>
          <w:numId w:val="1001"/>
        </w:numPr>
      </w:pPr>
      <w:r>
        <w:t xml:space="preserve">0 static-analysis findings at High / Error level</w:t>
      </w:r>
    </w:p>
    <w:p>
      <w:pPr>
        <w:pStyle w:val="Compact"/>
        <w:numPr>
          <w:ilvl w:val="0"/>
          <w:numId w:val="1001"/>
        </w:numPr>
      </w:pPr>
      <w:r>
        <w:t xml:space="preserve">Coverage targets met (see SWE Plan section 8)</w:t>
      </w:r>
    </w:p>
    <w:p>
      <w:pPr>
        <w:pStyle w:val="Compact"/>
        <w:numPr>
          <w:ilvl w:val="0"/>
          <w:numId w:val="1001"/>
        </w:numPr>
      </w:pPr>
      <w:r>
        <w:t xml:space="preserve">All PRs reviewed and approved</w:t>
      </w:r>
    </w:p>
    <w:bookmarkEnd w:id="21"/>
    <w:bookmarkStart w:id="22" w:name="quality-measures"/>
    <w:p>
      <w:pPr>
        <w:pStyle w:val="Heading2"/>
      </w:pPr>
      <w:r>
        <w:t xml:space="preserve">2. Quality measures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83"/>
        <w:gridCol w:w="2897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</w:pPr>
            <w:r>
              <w:t xml:space="preserve">Tool / Method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check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doorstop check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check</w:t>
            </w:r>
          </w:p>
        </w:tc>
        <w:tc>
          <w:tcPr/>
          <w:p>
            <w:pPr>
              <w:pStyle w:val="Compact"/>
            </w:pPr>
            <w:r>
              <w:t xml:space="preserve">Cppcheck + MISRA addon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analysis</w:t>
            </w:r>
          </w:p>
        </w:tc>
        <w:tc>
          <w:tcPr/>
          <w:p>
            <w:pPr>
              <w:pStyle w:val="Compact"/>
            </w:pPr>
            <w:r>
              <w:t xml:space="preserve">Cppcheck, clang-tidy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every change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review</w:t>
            </w:r>
          </w:p>
        </w:tc>
        <w:tc>
          <w:tcPr/>
          <w:p>
            <w:pPr>
              <w:pStyle w:val="Compact"/>
            </w:pPr>
            <w:r>
              <w:t xml:space="preserve">Technical review, 2 approvers</w:t>
            </w:r>
          </w:p>
        </w:tc>
        <w:tc>
          <w:tcPr/>
          <w:p>
            <w:pPr>
              <w:pStyle w:val="Compact"/>
            </w:pPr>
            <w:r>
              <w:t xml:space="preserve">on changes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 preparation</w:t>
            </w:r>
          </w:p>
        </w:tc>
        <w:tc>
          <w:tcPr/>
          <w:p>
            <w:pPr>
              <w:pStyle w:val="Compact"/>
            </w:pPr>
            <w:r>
              <w:t xml:space="preserve">doorstop publish + Word docs</w:t>
            </w:r>
          </w:p>
        </w:tc>
        <w:tc>
          <w:tcPr/>
          <w:p>
            <w:pPr>
              <w:pStyle w:val="Compact"/>
            </w:pPr>
            <w:r>
              <w:t xml:space="preserve">on release</w:t>
            </w:r>
          </w:p>
        </w:tc>
      </w:tr>
    </w:tbl>
    <w:bookmarkEnd w:id="22"/>
    <w:bookmarkStart w:id="23" w:name="reviews"/>
    <w:p>
      <w:pPr>
        <w:pStyle w:val="Heading2"/>
      </w:pPr>
      <w:r>
        <w:t xml:space="preserve">3. Reviews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20"/>
        <w:gridCol w:w="2376"/>
        <w:gridCol w:w="19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element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(QM / ASIL-A/B)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(ASIL-C/D)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Plans and reports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bookmarkEnd w:id="23"/>
    <w:bookmarkStart w:id="24" w:name="non-conformity-management"/>
    <w:p>
      <w:pPr>
        <w:pStyle w:val="Heading2"/>
      </w:pPr>
      <w:r>
        <w:t xml:space="preserve">4. Non-conformity management</w:t>
      </w:r>
    </w:p>
    <w:p>
      <w:pPr>
        <w:pStyle w:val="FirstParagraph"/>
      </w:pPr>
      <w:r>
        <w:t xml:space="preserve">Deviations from the plan or from requirements are documented as a non-conformity (NC):</w:t>
      </w:r>
    </w:p>
    <w:p>
      <w:pPr>
        <w:pStyle w:val="Compact"/>
        <w:numPr>
          <w:ilvl w:val="0"/>
          <w:numId w:val="1002"/>
        </w:numPr>
      </w:pPr>
      <w:r>
        <w:t xml:space="preserve">Path:</w:t>
      </w:r>
      <w:r>
        <w:t xml:space="preserve"> </w:t>
      </w:r>
      <w:r>
        <w:rPr>
          <w:rStyle w:val="VerbatimChar"/>
        </w:rPr>
        <w:t xml:space="preserve">docs/non-conformities/NC-XXX.docx</w:t>
      </w:r>
    </w:p>
    <w:p>
      <w:pPr>
        <w:pStyle w:val="Compact"/>
        <w:numPr>
          <w:ilvl w:val="0"/>
          <w:numId w:val="1002"/>
        </w:numPr>
      </w:pPr>
      <w:r>
        <w:t xml:space="preserve">Each NC has a unique ID</w:t>
      </w:r>
    </w:p>
    <w:p>
      <w:pPr>
        <w:pStyle w:val="Compact"/>
        <w:numPr>
          <w:ilvl w:val="0"/>
          <w:numId w:val="1002"/>
        </w:numPr>
      </w:pPr>
      <w:r>
        <w:t xml:space="preserve">Severity classification: Critical / Major / Minor</w:t>
      </w:r>
    </w:p>
    <w:p>
      <w:pPr>
        <w:pStyle w:val="Compact"/>
        <w:numPr>
          <w:ilvl w:val="0"/>
          <w:numId w:val="1002"/>
        </w:numPr>
      </w:pPr>
      <w:r>
        <w:t xml:space="preserve">Corrective action and verification are tracked</w:t>
      </w:r>
    </w:p>
    <w:p>
      <w:pPr>
        <w:pStyle w:val="Compact"/>
        <w:numPr>
          <w:ilvl w:val="0"/>
          <w:numId w:val="1002"/>
        </w:numPr>
      </w:pPr>
      <w:r>
        <w:t xml:space="preserve">Example NC present: NC-001</w:t>
      </w:r>
    </w:p>
    <w:bookmarkEnd w:id="24"/>
    <w:bookmarkStart w:id="25" w:name="audit-preparation"/>
    <w:p>
      <w:pPr>
        <w:pStyle w:val="Heading2"/>
      </w:pPr>
      <w:r>
        <w:t xml:space="preserve">5. Audit preparation</w:t>
      </w:r>
    </w:p>
    <w:p>
      <w:pPr>
        <w:pStyle w:val="FirstParagraph"/>
      </w:pPr>
      <w:r>
        <w:t xml:space="preserve">Audit readiness is maintained continuously:</w:t>
      </w:r>
    </w:p>
    <w:p>
      <w:pPr>
        <w:pStyle w:val="Compact"/>
        <w:numPr>
          <w:ilvl w:val="0"/>
          <w:numId w:val="1003"/>
        </w:numPr>
      </w:pPr>
      <w:r>
        <w:t xml:space="preserve">Git history is the audit trail (no direct push 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docs/plans-md/</w:t>
      </w:r>
      <w:r>
        <w:t xml:space="preserve"> </w:t>
      </w:r>
      <w:r>
        <w:t xml:space="preserve">holds the released plans (Word in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alongside)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docs/traceability/</w:t>
      </w:r>
      <w:r>
        <w:t xml:space="preserve"> </w:t>
      </w:r>
      <w:r>
        <w:t xml:space="preserve">holds the auto-generated matrices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misra/records/</w:t>
      </w:r>
      <w:r>
        <w:t xml:space="preserve"> </w:t>
      </w:r>
      <w:r>
        <w:t xml:space="preserve">holds MISRA deviation records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tests/results/</w:t>
      </w:r>
      <w:r>
        <w:t xml:space="preserve"> </w:t>
      </w:r>
      <w:r>
        <w:t xml:space="preserve">holds test and coverage reports (CI artefacts)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docs/reviews/</w:t>
      </w:r>
      <w:r>
        <w:t xml:space="preserve"> </w:t>
      </w:r>
      <w:r>
        <w:t xml:space="preserve">holds review minutes</w:t>
      </w:r>
    </w:p>
    <w:bookmarkEnd w:id="25"/>
    <w:bookmarkStart w:id="26" w:name="improvement-actions"/>
    <w:p>
      <w:pPr>
        <w:pStyle w:val="Heading2"/>
      </w:pPr>
      <w:r>
        <w:t xml:space="preserve">6. Improvement actions</w:t>
      </w:r>
    </w:p>
    <w:p>
      <w:pPr>
        <w:pStyle w:val="FirstParagraph"/>
      </w:pPr>
      <w:r>
        <w:t xml:space="preserve">Every sprint closure includes a brief lessons-learned note in</w:t>
      </w:r>
      <w:r>
        <w:t xml:space="preserve"> </w:t>
      </w:r>
      <w:r>
        <w:rPr>
          <w:rStyle w:val="VerbatimChar"/>
        </w:rPr>
        <w:t xml:space="preserve">docs/lessons-learned/</w:t>
      </w:r>
      <w:r>
        <w:t xml:space="preserve">. Skipped in this demo because it is a single-sprint project.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2026-05-12T10:31:03Z</dcterms:created>
  <dcterms:modified xsi:type="dcterms:W3CDTF">2026-05-12T10:31:03Z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