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2026-05-11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misra-deviation-record-misra-rec-001"/>
    <w:p>
      <w:pPr>
        <w:pStyle w:val="Heading1"/>
      </w:pPr>
      <w:r>
        <w:t xml:space="preserve">MISRA Deviation Record MISRA-REC-001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51"/>
        <w:gridCol w:w="55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 ID</w:t>
            </w:r>
          </w:p>
        </w:tc>
        <w:tc>
          <w:tcPr/>
          <w:p>
            <w:pPr>
              <w:pStyle w:val="Compact"/>
            </w:pPr>
            <w:r>
              <w:t xml:space="preserve">MISRA-REC-001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apply_ctrl_step_50ms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</w:t>
            </w:r>
          </w:p>
        </w:tc>
        <w:tc>
          <w:tcPr/>
          <w:p>
            <w:pPr>
              <w:pStyle w:val="Compact"/>
            </w:pPr>
            <w:r>
              <w:t xml:space="preserve">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MISRA C:2012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</w:t>
            </w:r>
          </w:p>
        </w:tc>
        <w:tc>
          <w:tcPr/>
          <w:p>
            <w:pPr>
              <w:pStyle w:val="Compact"/>
            </w:pPr>
            <w:r>
              <w:t xml:space="preserve">Rule 15.5 (Advisory) —</w:t>
            </w:r>
            <w:r>
              <w:t xml:space="preserve"> </w:t>
            </w:r>
            <w:r>
              <w:t xml:space="preserve">“A function should have a single point of exit”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code-excerpt"/>
    <w:p>
      <w:pPr>
        <w:pStyle w:val="Heading2"/>
      </w:pPr>
      <w:r>
        <w:t xml:space="preserve">1. Code excerpt</w:t>
      </w:r>
    </w:p>
    <w:p>
      <w:pPr>
        <w:pStyle w:val="SourceCode"/>
      </w:pPr>
      <w:r>
        <w:rPr>
          <w:rStyle w:val="DataTypeTok"/>
        </w:rPr>
        <w:t xml:space="preserve">void</w:t>
      </w:r>
      <w:r>
        <w:rPr>
          <w:rStyle w:val="NormalTok"/>
        </w:rPr>
        <w:t xml:space="preserve"> apply_ctrl_step_50ms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const</w:t>
      </w:r>
      <w:r>
        <w:rPr>
          <w:rStyle w:val="NormalTok"/>
        </w:rPr>
        <w:t xml:space="preserve"> ApplyInputs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s_ctx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last_error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EPB_EINVAL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/* &lt;-- early exit */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...</w:t>
      </w:r>
      <w:r>
        <w:br/>
      </w:r>
      <w:r>
        <w:rPr>
          <w:rStyle w:val="OperatorTok"/>
        </w:rPr>
        <w:t xml:space="preserve">}</w:t>
      </w:r>
    </w:p>
    <w:bookmarkEnd w:id="21"/>
    <w:bookmarkStart w:id="22" w:name="rationale"/>
    <w:p>
      <w:pPr>
        <w:pStyle w:val="Heading2"/>
      </w:pPr>
      <w:r>
        <w:t xml:space="preserve">2. Rationale</w:t>
      </w:r>
    </w:p>
    <w:p>
      <w:pPr>
        <w:pStyle w:val="FirstParagraph"/>
      </w:pPr>
      <w:r>
        <w:t xml:space="preserve">The NULL pointer check as an early exit significantly improves readability versus a nested variant with a single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at the end. MISRA Rule 15.5 is</w:t>
      </w:r>
      <w:r>
        <w:t xml:space="preserve"> </w:t>
      </w:r>
      <w:r>
        <w:rPr>
          <w:b/>
          <w:bCs/>
        </w:rPr>
        <w:t xml:space="preserve">Advisory</w:t>
      </w:r>
      <w:r>
        <w:t xml:space="preserve">, not</w:t>
      </w:r>
      <w:r>
        <w:t xml:space="preserve"> </w:t>
      </w:r>
      <w:r>
        <w:rPr>
          <w:b/>
          <w:bCs/>
        </w:rPr>
        <w:t xml:space="preserve">Required</w:t>
      </w:r>
      <w:r>
        <w:t xml:space="preserve">.</w:t>
      </w:r>
    </w:p>
    <w:p>
      <w:pPr>
        <w:pStyle w:val="BodyText"/>
      </w:pPr>
      <w:r>
        <w:t xml:space="preserve">The early exit has clearly defined semantics (input validation) and does not impair verifiability; on the contrary, the separate path is unambiguously covered in the unit test</w:t>
      </w:r>
      <w:r>
        <w:t xml:space="preserve"> </w:t>
      </w:r>
      <w:r>
        <w:rPr>
          <w:rStyle w:val="VerbatimChar"/>
        </w:rPr>
        <w:t xml:space="preserve">test_null_input</w:t>
      </w:r>
      <w:r>
        <w:t xml:space="preserve">.</w:t>
      </w:r>
    </w:p>
    <w:bookmarkEnd w:id="22"/>
    <w:bookmarkStart w:id="23" w:name="alternative-considered"/>
    <w:p>
      <w:pPr>
        <w:pStyle w:val="Heading2"/>
      </w:pPr>
      <w:r>
        <w:t xml:space="preserve">3. Alternative considered</w:t>
      </w:r>
    </w:p>
    <w:p>
      <w:pPr>
        <w:pStyle w:val="FirstParagraph"/>
      </w:pPr>
      <w:r>
        <w:t xml:space="preserve">Single-exit variant:</w:t>
      </w:r>
    </w:p>
    <w:p>
      <w:pPr>
        <w:pStyle w:val="SourceCode"/>
      </w:pPr>
      <w:r>
        <w:rPr>
          <w:rStyle w:val="DataTypeTok"/>
        </w:rPr>
        <w:t xml:space="preserve">void</w:t>
      </w:r>
      <w:r>
        <w:rPr>
          <w:rStyle w:val="NormalTok"/>
        </w:rPr>
        <w:t xml:space="preserve"> apply_ctrl_step_50ms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const</w:t>
      </w:r>
      <w:r>
        <w:rPr>
          <w:rStyle w:val="NormalTok"/>
        </w:rPr>
        <w:t xml:space="preserve"> ApplyInputs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s_ctx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last_error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EPB_EINVAL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/* entire step logic nested in else branch */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...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Rejected because the additional nesting makes the state machine harder to read without gaining functional equivalence relative to the early-exit variant.</w:t>
      </w:r>
    </w:p>
    <w:bookmarkEnd w:id="23"/>
    <w:bookmarkStart w:id="24" w:name="safety-impact"/>
    <w:p>
      <w:pPr>
        <w:pStyle w:val="Heading2"/>
      </w:pPr>
      <w:r>
        <w:t xml:space="preserve">4. Safety impact</w:t>
      </w:r>
    </w:p>
    <w:p>
      <w:pPr>
        <w:pStyle w:val="FirstParagraph"/>
      </w:pPr>
      <w:r>
        <w:t xml:space="preserve">None. The early exit is deterministic and covered by the unit test.</w:t>
      </w:r>
    </w:p>
    <w:bookmarkEnd w:id="24"/>
    <w:bookmarkStart w:id="25" w:name="approval"/>
    <w:p>
      <w:pPr>
        <w:pStyle w:val="Heading2"/>
      </w:pPr>
      <w:r>
        <w:t xml:space="preserve">5. Approval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Signature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Manager</w:t>
            </w:r>
          </w:p>
        </w:tc>
        <w:tc>
          <w:tcPr/>
          <w:p>
            <w:pPr>
              <w:pStyle w:val="Compact"/>
            </w:pPr>
            <w:r>
              <w:t xml:space="preserve">(in real project)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(demo)</w:t>
            </w:r>
          </w:p>
        </w:tc>
      </w:tr>
    </w:tbl>
    <w:bookmarkEnd w:id="25"/>
    <w:bookmarkStart w:id="26" w:name="scope"/>
    <w:p>
      <w:pPr>
        <w:pStyle w:val="Heading2"/>
      </w:pPr>
      <w:r>
        <w:t xml:space="preserve">6. Scope</w:t>
      </w:r>
    </w:p>
    <w:p>
      <w:pPr>
        <w:pStyle w:val="FirstParagraph"/>
      </w:pPr>
      <w:r>
        <w:t xml:space="preserve">This deviation applies only to this specific code site. Other early-exit sites require separate records.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2026-05-12T10:34:03Z</dcterms:created>
  <dcterms:modified xsi:type="dcterms:W3CDTF">2026-05-12T10:34:03Z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2026-05-11</vt:lpwstr>
  </property>
  <property fmtid="{D5CDD505-2E9C-101B-9397-08002B2CF9AE}" pid="3" name="project">
    <vt:lpwstr>demo-epb</vt:lpwstr>
  </property>
  <property fmtid="{D5CDD505-2E9C-101B-9397-08002B2CF9AE}" pid="4" name="record-id">
    <vt:lpwstr>MISRA-REC-001</vt:lpwstr>
  </property>
  <property fmtid="{D5CDD505-2E9C-101B-9397-08002B2CF9AE}" pid="5" name="status">
    <vt:lpwstr>Approved</vt:lpwstr>
  </property>
</Properties>
</file>