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misra-c2012-compliance-statement"/>
    <w:p>
      <w:pPr>
        <w:pStyle w:val="Heading1"/>
      </w:pPr>
      <w:r>
        <w:t xml:space="preserve">MISRA C:2012 Compliance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ID</w:t>
            </w:r>
          </w:p>
        </w:tc>
        <w:tc>
          <w:tcPr/>
          <w:p>
            <w:pPr>
              <w:pStyle w:val="Compact"/>
            </w:pPr>
            <w:r>
              <w:t xml:space="preserve">SLM-EPB-MISRA-COMP-001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MISRA C:2012 (incl. Amendment 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GCC 11.2 (Linux CI) / GCC 16.1 (Win)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Checker</w:t>
            </w:r>
          </w:p>
        </w:tc>
        <w:tc>
          <w:tcPr/>
          <w:p>
            <w:pPr>
              <w:pStyle w:val="Compact"/>
            </w:pPr>
            <w:r>
              <w:t xml:space="preserve">Cppcheck 2.7+ with</w:t>
            </w:r>
            <w:r>
              <w:t xml:space="preserve"> </w:t>
            </w:r>
            <w:r>
              <w:rPr>
                <w:rStyle w:val="VerbatimChar"/>
              </w:rPr>
              <w:t xml:space="preserve">--addon=misra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summary"/>
    <w:p>
      <w:pPr>
        <w:pStyle w:val="Heading2"/>
      </w:pPr>
      <w:r>
        <w:t xml:space="preserve">1. Summary</w:t>
      </w:r>
    </w:p>
    <w:p>
      <w:pPr>
        <w:pStyle w:val="FirstParagraph"/>
      </w:pPr>
      <w:r>
        <w:t xml:space="preserve">The source code of demo-epb has been checked against MISRA C:2012. All</w:t>
      </w:r>
      <w:r>
        <w:t xml:space="preserve"> </w:t>
      </w:r>
      <w:r>
        <w:rPr>
          <w:b/>
          <w:bCs/>
        </w:rPr>
        <w:t xml:space="preserve">Required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Mandatory</w:t>
      </w:r>
      <w:r>
        <w:t xml:space="preserve"> </w:t>
      </w:r>
      <w:r>
        <w:t xml:space="preserve">rules are observed, with the exception of one documented deviation (see MISRA-REC-001).</w:t>
      </w:r>
    </w:p>
    <w:p>
      <w:pPr>
        <w:pStyle w:val="BodyText"/>
      </w:pPr>
      <w:r>
        <w:rPr>
          <w:b/>
          <w:bCs/>
        </w:rPr>
        <w:t xml:space="preserve">Compliance statement:</w:t>
      </w:r>
      <w:r>
        <w:t xml:space="preserve"> </w:t>
      </w:r>
      <w:r>
        <w:t xml:space="preserve">demo-epb v1.0 is</w:t>
      </w:r>
      <w:r>
        <w:t xml:space="preserve"> </w:t>
      </w:r>
      <w:r>
        <w:rPr>
          <w:b/>
          <w:bCs/>
        </w:rPr>
        <w:t xml:space="preserve">MISRA C:2012 compliant</w:t>
      </w:r>
      <w:r>
        <w:t xml:space="preserve"> </w:t>
      </w:r>
      <w:r>
        <w:t xml:space="preserve">taking into account the documented deviation records.</w:t>
      </w:r>
    </w:p>
    <w:bookmarkEnd w:id="21"/>
    <w:bookmarkStart w:id="22" w:name="scope"/>
    <w:p>
      <w:pPr>
        <w:pStyle w:val="Heading2"/>
      </w:pPr>
      <w:r>
        <w:t xml:space="preserve">2. Scope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42"/>
        <w:gridCol w:w="36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MISRA-checked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src/switch_debouncer.{c,h}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src/actuator_driver.{c,h}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src/apply_controller.{c,h}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src/safety_manager.{c,h}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src/epb_types.h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src/stubs/*.h</w:t>
            </w:r>
          </w:p>
        </w:tc>
        <w:tc>
          <w:tcPr/>
          <w:p>
            <w:pPr>
              <w:pStyle w:val="Compact"/>
            </w:pPr>
            <w:r>
              <w:t xml:space="preserve">Header-only, no MISRA-relevant implementations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tests/**/*</w:t>
            </w:r>
          </w:p>
        </w:tc>
        <w:tc>
          <w:tcPr/>
          <w:p>
            <w:pPr>
              <w:pStyle w:val="Compact"/>
            </w:pPr>
            <w:r>
              <w:t xml:space="preserve">Out of scope (test code)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tools/**/*</w:t>
            </w:r>
          </w:p>
        </w:tc>
        <w:tc>
          <w:tcPr/>
          <w:p>
            <w:pPr>
              <w:pStyle w:val="Compact"/>
            </w:pPr>
            <w:r>
              <w:t xml:space="preserve">Out of scope (Python scripts)</w:t>
            </w:r>
          </w:p>
        </w:tc>
      </w:tr>
    </w:tbl>
    <w:bookmarkEnd w:id="22"/>
    <w:bookmarkStart w:id="23" w:name="rule-activation"/>
    <w:p>
      <w:pPr>
        <w:pStyle w:val="Heading2"/>
      </w:pPr>
      <w:r>
        <w:t xml:space="preserve">3. Rule activation</w:t>
      </w:r>
    </w:p>
    <w:p>
      <w:pPr>
        <w:pStyle w:val="FirstParagraph"/>
      </w:pPr>
      <w:r>
        <w:t xml:space="preserve">The Cppcheck MISRA addon checks the following rule categories: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43"/>
        <w:gridCol w:w="1195"/>
        <w:gridCol w:w="5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Activation in project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Mandatory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All active, violation blocks 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Required</w:t>
            </w:r>
          </w:p>
        </w:tc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t xml:space="preserve">All active, violation blocks 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Advisory</w:t>
            </w:r>
          </w:p>
        </w:tc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t xml:space="preserve">Active at warning level, deviations allowed per record</w:t>
            </w:r>
          </w:p>
        </w:tc>
      </w:tr>
    </w:tbl>
    <w:bookmarkEnd w:id="23"/>
    <w:bookmarkStart w:id="27" w:name="compliance-status-per-rule-category"/>
    <w:p>
      <w:pPr>
        <w:pStyle w:val="Heading2"/>
      </w:pPr>
      <w:r>
        <w:t xml:space="preserve">4. Compliance status per rule category</w:t>
      </w:r>
    </w:p>
    <w:bookmarkStart w:id="24" w:name="mandatory-rules-9"/>
    <w:p>
      <w:pPr>
        <w:pStyle w:val="Heading3"/>
      </w:pPr>
      <w:r>
        <w:t xml:space="preserve">4.1 Mandatory rules (9)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9.1, R 9.2, R 9.3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13.6, R 17.3, R 17.4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19.1, R 21.13, R 21.17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21.18, R 21.19, R 21.20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</w:tbl>
    <w:p>
      <w:pPr>
        <w:pStyle w:val="BodyText"/>
      </w:pPr>
      <w:r>
        <w:rPr>
          <w:b/>
          <w:bCs/>
        </w:rPr>
        <w:t xml:space="preserve">Mandatory status: 100% Compliant.</w:t>
      </w:r>
    </w:p>
    <w:bookmarkEnd w:id="24"/>
    <w:bookmarkStart w:id="25" w:name="required-rules"/>
    <w:p>
      <w:pPr>
        <w:pStyle w:val="Heading3"/>
      </w:pPr>
      <w:r>
        <w:t xml:space="preserve">4.2 Required rules</w:t>
      </w:r>
    </w:p>
    <w:p>
      <w:pPr>
        <w:pStyle w:val="FirstParagraph"/>
      </w:pPr>
      <w:r>
        <w:t xml:space="preserve">Total: 119 Required rules. Violations:</w:t>
      </w:r>
      <w:r>
        <w:t xml:space="preserve"> </w:t>
      </w:r>
      <w:r>
        <w:rPr>
          <w:b/>
          <w:bCs/>
        </w:rPr>
        <w:t xml:space="preserve">0</w:t>
      </w:r>
      <w:r>
        <w:t xml:space="preserve">.</w:t>
      </w:r>
    </w:p>
    <w:p>
      <w:pPr>
        <w:pStyle w:val="BodyText"/>
      </w:pPr>
      <w:r>
        <w:t xml:space="preserve">Top relevant rules for this project: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25"/>
        <w:gridCol w:w="5965"/>
        <w:gridCol w:w="10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8.1</w:t>
            </w:r>
          </w:p>
        </w:tc>
        <w:tc>
          <w:tcPr/>
          <w:p>
            <w:pPr>
              <w:pStyle w:val="Compact"/>
            </w:pPr>
            <w:r>
              <w:t xml:space="preserve">Type specifier shall be explicit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8.2</w:t>
            </w:r>
          </w:p>
        </w:tc>
        <w:tc>
          <w:tcPr/>
          <w:p>
            <w:pPr>
              <w:pStyle w:val="Compact"/>
            </w:pPr>
            <w:r>
              <w:t xml:space="preserve">Function parameters shall be explicitly named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8.4</w:t>
            </w:r>
          </w:p>
        </w:tc>
        <w:tc>
          <w:tcPr/>
          <w:p>
            <w:pPr>
              <w:pStyle w:val="Compact"/>
            </w:pPr>
            <w:r>
              <w:t xml:space="preserve">Compatible declaration shall be visible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8.7</w:t>
            </w:r>
          </w:p>
        </w:tc>
        <w:tc>
          <w:tcPr/>
          <w:p>
            <w:pPr>
              <w:pStyle w:val="Compact"/>
            </w:pPr>
            <w:r>
              <w:t xml:space="preserve">Functions shall not have external linkage if used in one unit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14.1</w:t>
            </w:r>
          </w:p>
        </w:tc>
        <w:tc>
          <w:tcPr/>
          <w:p>
            <w:pPr>
              <w:pStyle w:val="Compact"/>
            </w:pPr>
            <w:r>
              <w:t xml:space="preserve">Loop counter shall not have essentially floating type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14.4</w:t>
            </w:r>
          </w:p>
        </w:tc>
        <w:tc>
          <w:tcPr/>
          <w:p>
            <w:pPr>
              <w:pStyle w:val="Compact"/>
            </w:pPr>
            <w:r>
              <w:t xml:space="preserve">Controlling expression shall have essentially Boolean type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15.4</w:t>
            </w:r>
          </w:p>
        </w:tc>
        <w:tc>
          <w:tcPr/>
          <w:p>
            <w:pPr>
              <w:pStyle w:val="Compact"/>
            </w:pPr>
            <w:r>
              <w:t xml:space="preserve">At most one break or goto per loop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17.7</w:t>
            </w:r>
          </w:p>
        </w:tc>
        <w:tc>
          <w:tcPr/>
          <w:p>
            <w:pPr>
              <w:pStyle w:val="Compact"/>
            </w:pPr>
            <w:r>
              <w:t xml:space="preserve">Return value of non-void function shall be used</w:t>
            </w:r>
          </w:p>
        </w:tc>
        <w:tc>
          <w:tcPr/>
          <w:p>
            <w:pPr>
              <w:pStyle w:val="Compact"/>
            </w:pPr>
            <w:r>
              <w:t xml:space="preserve">Compliant (or explicit</w:t>
            </w:r>
            <w:r>
              <w:t xml:space="preserve"> </w:t>
            </w:r>
            <w:r>
              <w:rPr>
                <w:rStyle w:val="VerbatimChar"/>
              </w:rPr>
              <w:t xml:space="preserve">(void)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21.3</w:t>
            </w:r>
          </w:p>
        </w:tc>
        <w:tc>
          <w:tcPr/>
          <w:p>
            <w:pPr>
              <w:pStyle w:val="Compact"/>
            </w:pPr>
            <w:r>
              <w:t xml:space="preserve">No dynamic memory allocation (malloc/free)</w:t>
            </w:r>
          </w:p>
        </w:tc>
        <w:tc>
          <w:tcPr/>
          <w:p>
            <w:pPr>
              <w:pStyle w:val="Compact"/>
            </w:pPr>
            <w:r>
              <w:t xml:space="preserve">Compliant (no heap use)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21.4</w:t>
            </w:r>
          </w:p>
        </w:tc>
        <w:tc>
          <w:tcPr/>
          <w:p>
            <w:pPr>
              <w:pStyle w:val="Compact"/>
            </w:pPr>
            <w:r>
              <w:t xml:space="preserve">No setjmp/longjmp</w:t>
            </w:r>
          </w:p>
        </w:tc>
        <w:tc>
          <w:tcPr/>
          <w:p>
            <w:pPr>
              <w:pStyle w:val="Compact"/>
            </w:pPr>
            <w:r>
              <w:t xml:space="preserve">Compliant</w:t>
            </w:r>
          </w:p>
        </w:tc>
      </w:tr>
    </w:tbl>
    <w:bookmarkEnd w:id="25"/>
    <w:bookmarkStart w:id="26" w:name="advisory-rules"/>
    <w:p>
      <w:pPr>
        <w:pStyle w:val="Heading3"/>
      </w:pPr>
      <w:r>
        <w:t xml:space="preserve">4.3 Advisory rules</w:t>
      </w:r>
    </w:p>
    <w:p>
      <w:pPr>
        <w:pStyle w:val="FirstParagraph"/>
      </w:pPr>
      <w:r>
        <w:t xml:space="preserve">47 Advisory rules. Violations are documented via MISRA deviation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10"/>
        <w:gridCol w:w="810"/>
        <w:gridCol w:w="2790"/>
        <w:gridCol w:w="26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Record ID</w:t>
            </w:r>
          </w:p>
        </w:tc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Rationale summary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MISRA-REC-001</w:t>
            </w:r>
          </w:p>
        </w:tc>
        <w:tc>
          <w:tcPr/>
          <w:p>
            <w:pPr>
              <w:pStyle w:val="Compact"/>
            </w:pPr>
            <w:r>
              <w:t xml:space="preserve">R 15.5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src/apply_controller.c:64</w:t>
            </w:r>
          </w:p>
        </w:tc>
        <w:tc>
          <w:tcPr/>
          <w:p>
            <w:pPr>
              <w:pStyle w:val="Compact"/>
            </w:pPr>
            <w:r>
              <w:t xml:space="preserve">Early-exit for NULL check</w:t>
            </w:r>
          </w:p>
        </w:tc>
      </w:tr>
    </w:tbl>
    <w:p>
      <w:pPr>
        <w:pStyle w:val="BodyText"/>
      </w:pPr>
      <w:r>
        <w:rPr>
          <w:b/>
          <w:bCs/>
        </w:rPr>
        <w:t xml:space="preserve">Advisory status: 1 deviation record, documented.</w:t>
      </w:r>
    </w:p>
    <w:bookmarkEnd w:id="26"/>
    <w:bookmarkEnd w:id="27"/>
    <w:bookmarkStart w:id="28" w:name="check-pipeline"/>
    <w:p>
      <w:pPr>
        <w:pStyle w:val="Heading2"/>
      </w:pPr>
      <w:r>
        <w:t xml:space="preserve">5. Check pipeline</w:t>
      </w:r>
    </w:p>
    <w:p>
      <w:pPr>
        <w:pStyle w:val="SourceCode"/>
      </w:pPr>
      <w:r>
        <w:rPr>
          <w:rStyle w:val="ExtensionTok"/>
        </w:rPr>
        <w:t xml:space="preserve">cppcheck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--enable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--inconclusive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--error-exitcode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--suppress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missingIncludeSystem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--suppress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unusedFunction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--addon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misra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src src</w:t>
      </w:r>
    </w:p>
    <w:p>
      <w:pPr>
        <w:pStyle w:val="FirstParagraph"/>
      </w:pPr>
      <w:r>
        <w:t xml:space="preserve">Checks are run:</w:t>
      </w:r>
      <w:r>
        <w:t xml:space="preserve"> </w:t>
      </w:r>
      <w:r>
        <w:t xml:space="preserve">- Locally before each commit (recommended)</w:t>
      </w:r>
      <w:r>
        <w:t xml:space="preserve"> </w:t>
      </w:r>
      <w:r>
        <w:t xml:space="preserve">- Automatically in CI on every push and PR</w:t>
      </w:r>
      <w:r>
        <w:t xml:space="preserve"> </w:t>
      </w:r>
      <w:r>
        <w:t xml:space="preserve">- Before each release (tag push triggers release.yml)</w:t>
      </w:r>
    </w:p>
    <w:bookmarkEnd w:id="28"/>
    <w:bookmarkStart w:id="29" w:name="deviation-permits-project-wide"/>
    <w:p>
      <w:pPr>
        <w:pStyle w:val="Heading2"/>
      </w:pPr>
      <w:r>
        <w:t xml:space="preserve">6. Deviation Permits (project-wide)</w:t>
      </w:r>
    </w:p>
    <w:p>
      <w:pPr>
        <w:pStyle w:val="FirstParagraph"/>
      </w:pPr>
      <w:r>
        <w:t xml:space="preserve">No project-wide permits are active.</w:t>
      </w:r>
    </w:p>
    <w:bookmarkEnd w:id="29"/>
    <w:bookmarkStart w:id="30" w:name="re-audit-triggers"/>
    <w:p>
      <w:pPr>
        <w:pStyle w:val="Heading2"/>
      </w:pPr>
      <w:r>
        <w:t xml:space="preserve">7. Re-audit triggers</w:t>
      </w:r>
    </w:p>
    <w:p>
      <w:pPr>
        <w:pStyle w:val="FirstParagraph"/>
      </w:pPr>
      <w:r>
        <w:t xml:space="preserve">This compliance statement must be re-created on the following changes:</w:t>
      </w:r>
    </w:p>
    <w:p>
      <w:pPr>
        <w:pStyle w:val="Compact"/>
        <w:numPr>
          <w:ilvl w:val="0"/>
          <w:numId w:val="1001"/>
        </w:numPr>
      </w:pPr>
      <w:r>
        <w:t xml:space="preserve">Compiler change (e.g. GCC → Clang)</w:t>
      </w:r>
    </w:p>
    <w:p>
      <w:pPr>
        <w:pStyle w:val="Compact"/>
        <w:numPr>
          <w:ilvl w:val="0"/>
          <w:numId w:val="1001"/>
        </w:numPr>
      </w:pPr>
      <w:r>
        <w:t xml:space="preserve">Major update of Cppcheck or the MISRA addon</w:t>
      </w:r>
    </w:p>
    <w:p>
      <w:pPr>
        <w:pStyle w:val="Compact"/>
        <w:numPr>
          <w:ilvl w:val="0"/>
          <w:numId w:val="1001"/>
        </w:numPr>
      </w:pPr>
      <w:r>
        <w:t xml:space="preserve">New source files outside</w:t>
      </w:r>
      <w:r>
        <w:t xml:space="preserve"> </w:t>
      </w:r>
      <w:r>
        <w:rPr>
          <w:rStyle w:val="VerbatimChar"/>
        </w:rPr>
        <w:t xml:space="preserve">src/</w:t>
      </w:r>
    </w:p>
    <w:p>
      <w:pPr>
        <w:pStyle w:val="Compact"/>
        <w:numPr>
          <w:ilvl w:val="0"/>
          <w:numId w:val="1001"/>
        </w:numPr>
      </w:pPr>
      <w:r>
        <w:t xml:space="preserve">MISRA standard update (e.g. C:2025 release)</w:t>
      </w:r>
    </w:p>
    <w:bookmarkEnd w:id="30"/>
    <w:bookmarkStart w:id="31" w:name="revision-history"/>
    <w:p>
      <w:pPr>
        <w:pStyle w:val="Heading2"/>
      </w:pPr>
      <w:r>
        <w:t xml:space="preserve">8.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 v1.0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SLM-EPB-MISRA-COMP-001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