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project-initiation-document-pid"/>
    <w:p>
      <w:pPr>
        <w:pStyle w:val="Heading1"/>
      </w:pPr>
      <w:r>
        <w:t xml:space="preserve">Project Initiation Document (PID)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demo-epb (Electric Parking Brake)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ID</w:t>
            </w:r>
          </w:p>
        </w:tc>
        <w:tc>
          <w:tcPr/>
          <w:p>
            <w:pPr>
              <w:pStyle w:val="Compact"/>
            </w:pPr>
            <w:r>
              <w:t xml:space="preserve">SLM-EPB-001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slohmaier.com (in-house 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Contractor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Public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ct-purpose"/>
    <w:p>
      <w:pPr>
        <w:pStyle w:val="Heading2"/>
      </w:pPr>
      <w:r>
        <w:t xml:space="preserve">1. Project purpose</w:t>
      </w:r>
    </w:p>
    <w:p>
      <w:pPr>
        <w:pStyle w:val="FirstParagraph"/>
      </w:pPr>
      <w:r>
        <w:t xml:space="preserve">Demonstration of the slohmaier Dev Process using an EPB ECU software. The goal is not the productive software but a complete demonstration of:</w:t>
      </w:r>
    </w:p>
    <w:p>
      <w:pPr>
        <w:pStyle w:val="Compact"/>
        <w:numPr>
          <w:ilvl w:val="0"/>
          <w:numId w:val="1001"/>
        </w:numPr>
      </w:pPr>
      <w:r>
        <w:t xml:space="preserve">ASPICE 4.0-compliant development flow</w:t>
      </w:r>
    </w:p>
    <w:p>
      <w:pPr>
        <w:pStyle w:val="Compact"/>
        <w:numPr>
          <w:ilvl w:val="0"/>
          <w:numId w:val="1001"/>
        </w:numPr>
      </w:pPr>
      <w:r>
        <w:t xml:space="preserve">ISO 26262-compliant handling of safety requirements (ASIL-D / ASIL-B / QM)</w:t>
      </w:r>
    </w:p>
    <w:p>
      <w:pPr>
        <w:pStyle w:val="Compact"/>
        <w:numPr>
          <w:ilvl w:val="0"/>
          <w:numId w:val="1001"/>
        </w:numPr>
      </w:pPr>
      <w:r>
        <w:t xml:space="preserve">MISRA C compliance</w:t>
      </w:r>
    </w:p>
    <w:p>
      <w:pPr>
        <w:pStyle w:val="Compact"/>
        <w:numPr>
          <w:ilvl w:val="0"/>
          <w:numId w:val="1001"/>
        </w:numPr>
      </w:pPr>
      <w:r>
        <w:t xml:space="preserve">Toolchain: Gitea + Doorstop + Cppcheck + gcov + CppUTest + pandoc</w:t>
      </w:r>
    </w:p>
    <w:p>
      <w:pPr>
        <w:pStyle w:val="FirstParagraph"/>
      </w:pPr>
      <w:r>
        <w:t xml:space="preserve">The target audience is potential customers who want to see what a real audit-ready engineering snapshot looks like.</w:t>
      </w:r>
    </w:p>
    <w:bookmarkEnd w:id="21"/>
    <w:bookmarkStart w:id="22" w:name="product-description"/>
    <w:p>
      <w:pPr>
        <w:pStyle w:val="Heading2"/>
      </w:pPr>
      <w:r>
        <w:t xml:space="preserve">2. Product description</w:t>
      </w:r>
    </w:p>
    <w:p>
      <w:pPr>
        <w:pStyle w:val="FirstParagraph"/>
      </w:pPr>
      <w:r>
        <w:t xml:space="preserve">An Electric Parking Brake (EPB) clamps two rear callipers via small electric motors at standstill and releases them on drive-away. Functional scope:</w:t>
      </w:r>
    </w:p>
    <w:p>
      <w:pPr>
        <w:pStyle w:val="Compact"/>
        <w:numPr>
          <w:ilvl w:val="0"/>
          <w:numId w:val="1002"/>
        </w:numPr>
      </w:pPr>
      <w:r>
        <w:t xml:space="preserve">Apply / Release on driver request</w:t>
      </w:r>
    </w:p>
    <w:p>
      <w:pPr>
        <w:pStyle w:val="Compact"/>
        <w:numPr>
          <w:ilvl w:val="0"/>
          <w:numId w:val="1002"/>
        </w:numPr>
      </w:pPr>
      <w:r>
        <w:t xml:space="preserve">Hold function with auto-apply on engine-off</w:t>
      </w:r>
    </w:p>
    <w:p>
      <w:pPr>
        <w:pStyle w:val="Compact"/>
        <w:numPr>
          <w:ilvl w:val="0"/>
          <w:numId w:val="1002"/>
        </w:numPr>
      </w:pPr>
      <w:r>
        <w:t xml:space="preserve">Drive-Away-Assist (auto-release on drive-away)</w:t>
      </w:r>
    </w:p>
    <w:p>
      <w:pPr>
        <w:pStyle w:val="Compact"/>
        <w:numPr>
          <w:ilvl w:val="0"/>
          <w:numId w:val="1002"/>
        </w:numPr>
      </w:pPr>
      <w:r>
        <w:t xml:space="preserve">Hill-Hold on inclines</w:t>
      </w:r>
    </w:p>
    <w:p>
      <w:pPr>
        <w:pStyle w:val="Compact"/>
        <w:numPr>
          <w:ilvl w:val="0"/>
          <w:numId w:val="1002"/>
        </w:numPr>
      </w:pPr>
      <w:r>
        <w:t xml:space="preserve">Actuator current monitoring</w:t>
      </w:r>
    </w:p>
    <w:p>
      <w:pPr>
        <w:pStyle w:val="Compact"/>
        <w:numPr>
          <w:ilvl w:val="0"/>
          <w:numId w:val="1002"/>
        </w:numPr>
      </w:pPr>
      <w:r>
        <w:t xml:space="preserve">Service mode for the workshop</w:t>
      </w:r>
    </w:p>
    <w:p>
      <w:pPr>
        <w:pStyle w:val="Compact"/>
        <w:numPr>
          <w:ilvl w:val="0"/>
          <w:numId w:val="1002"/>
        </w:numPr>
      </w:pPr>
      <w:r>
        <w:t xml:space="preserve">UDS diagnostics via CAN</w:t>
      </w:r>
    </w:p>
    <w:bookmarkEnd w:id="22"/>
    <w:bookmarkStart w:id="23" w:name="safety-goals"/>
    <w:p>
      <w:pPr>
        <w:pStyle w:val="Heading2"/>
      </w:pPr>
      <w:r>
        <w:t xml:space="preserve">3. Safety goals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9"/>
        <w:gridCol w:w="6565"/>
        <w:gridCol w:w="62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Safety goal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SG-01</w:t>
            </w:r>
          </w:p>
        </w:tc>
        <w:tc>
          <w:tcPr/>
          <w:p>
            <w:pPr>
              <w:pStyle w:val="Compact"/>
            </w:pPr>
            <w:r>
              <w:t xml:space="preserve">Prevent unintended vehicle roll-away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SG-02</w:t>
            </w:r>
          </w:p>
        </w:tc>
        <w:tc>
          <w:tcPr/>
          <w:p>
            <w:pPr>
              <w:pStyle w:val="Compact"/>
            </w:pPr>
            <w:r>
              <w:t xml:space="preserve">Prevent unintended release of the parking brake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SG-03</w:t>
            </w:r>
          </w:p>
        </w:tc>
        <w:tc>
          <w:tcPr/>
          <w:p>
            <w:pPr>
              <w:pStyle w:val="Compact"/>
            </w:pPr>
            <w:r>
              <w:t xml:space="preserve">Prevent motor damage from overload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p>
      <w:pPr>
        <w:pStyle w:val="BodyText"/>
      </w:pPr>
      <w:r>
        <w:t xml:space="preserve">Safety goals are detailed further in the system requirements (</w:t>
      </w:r>
      <w:r>
        <w:rPr>
          <w:rStyle w:val="VerbatimChar"/>
        </w:rPr>
        <w:t xml:space="preserve">reqs/sys/</w:t>
      </w:r>
      <w:r>
        <w:t xml:space="preserve">).</w:t>
      </w:r>
    </w:p>
    <w:bookmarkEnd w:id="23"/>
    <w:bookmarkStart w:id="24" w:name="stakeholders"/>
    <w:p>
      <w:pPr>
        <w:pStyle w:val="Heading2"/>
      </w:pPr>
      <w:r>
        <w:t xml:space="preserve">4. Stakeholders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Person /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Owner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Assurance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External reviewer (TBD)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(demo)</w:t>
            </w:r>
          </w:p>
        </w:tc>
        <w:tc>
          <w:tcPr/>
          <w:p>
            <w:pPr>
              <w:pStyle w:val="Compact"/>
            </w:pPr>
            <w:r>
              <w:t xml:space="preserve">Prospects / interested parties</w:t>
            </w:r>
          </w:p>
        </w:tc>
      </w:tr>
    </w:tbl>
    <w:p>
      <w:pPr>
        <w:pStyle w:val="BodyText"/>
      </w:pPr>
      <w:r>
        <w:t xml:space="preserve">In a real project QA and TL would be separate persons; in this demo the role separation is kept on paper.</w:t>
      </w:r>
    </w:p>
    <w:bookmarkEnd w:id="24"/>
    <w:bookmarkStart w:id="25" w:name="deliverables"/>
    <w:p>
      <w:pPr>
        <w:pStyle w:val="Heading2"/>
      </w:pPr>
      <w:r>
        <w:t xml:space="preserve">5. Deliverables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96"/>
        <w:gridCol w:w="1673"/>
        <w:gridCol w:w="14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PID, PM Plan, QA Plan, SWE Plan, Test Plan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Requirements (SYS-001..010)</w:t>
            </w:r>
          </w:p>
        </w:tc>
        <w:tc>
          <w:tcPr/>
          <w:p>
            <w:pPr>
              <w:pStyle w:val="Compact"/>
            </w:pPr>
            <w:r>
              <w:t xml:space="preserve">Doorstop MD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Requirements (SWE-001..025)</w:t>
            </w:r>
          </w:p>
        </w:tc>
        <w:tc>
          <w:tcPr/>
          <w:p>
            <w:pPr>
              <w:pStyle w:val="Compact"/>
            </w:pPr>
            <w:r>
              <w:t xml:space="preserve">Doorstop MD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Architecture (SA-001..005)</w:t>
            </w:r>
          </w:p>
        </w:tc>
        <w:tc>
          <w:tcPr/>
          <w:p>
            <w:pPr>
              <w:pStyle w:val="Compact"/>
            </w:pPr>
            <w:r>
              <w:t xml:space="preserve">Doorstop MD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Architecture (SWA-001..010)</w:t>
            </w:r>
          </w:p>
        </w:tc>
        <w:tc>
          <w:tcPr/>
          <w:p>
            <w:pPr>
              <w:pStyle w:val="Compact"/>
            </w:pPr>
            <w:r>
              <w:t xml:space="preserve">Doorstop MD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 (3 demo components)</w:t>
            </w:r>
          </w:p>
        </w:tc>
        <w:tc>
          <w:tcPr/>
          <w:p>
            <w:pPr>
              <w:pStyle w:val="Compact"/>
            </w:pPr>
            <w:r>
              <w:t xml:space="preserve">C99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 + coverage report</w:t>
            </w:r>
          </w:p>
        </w:tc>
        <w:tc>
          <w:tcPr/>
          <w:p>
            <w:pPr>
              <w:pStyle w:val="Compact"/>
            </w:pPr>
            <w:r>
              <w:t xml:space="preserve">CppUTest, lcov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report</w:t>
            </w:r>
          </w:p>
        </w:tc>
        <w:tc>
          <w:tcPr/>
          <w:p>
            <w:pPr>
              <w:pStyle w:val="Compact"/>
            </w:pPr>
            <w:r>
              <w:t xml:space="preserve">Cppcheck XML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matrix</w:t>
            </w:r>
          </w:p>
        </w:tc>
        <w:tc>
          <w:tcPr/>
          <w:p>
            <w:pPr>
              <w:pStyle w:val="Compact"/>
            </w:pPr>
            <w:r>
              <w:t xml:space="preserve">Doorstop HTML</w:t>
            </w:r>
          </w:p>
        </w:tc>
        <w:tc>
          <w:tcPr/>
          <w:p>
            <w:pPr>
              <w:pStyle w:val="Compact"/>
            </w:pPr>
            <w:r>
              <w:t xml:space="preserve">Generated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minutes (example)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Record (example)</w:t>
            </w:r>
          </w:p>
        </w:tc>
        <w:tc>
          <w:tcPr/>
          <w:p>
            <w:pPr>
              <w:pStyle w:val="Compact"/>
            </w:pPr>
            <w:r>
              <w:t xml:space="preserve">Word</w:t>
            </w:r>
          </w:p>
        </w:tc>
        <w:tc>
          <w:tcPr/>
          <w:p>
            <w:pPr>
              <w:pStyle w:val="Compact"/>
            </w:pPr>
            <w:r>
              <w:t xml:space="preserve">Available</w:t>
            </w:r>
          </w:p>
        </w:tc>
      </w:tr>
    </w:tbl>
    <w:bookmarkEnd w:id="25"/>
    <w:bookmarkStart w:id="26" w:name="schedule"/>
    <w:p>
      <w:pPr>
        <w:pStyle w:val="Heading2"/>
      </w:pPr>
      <w:r>
        <w:t xml:space="preserve">6. Schedule</w:t>
      </w:r>
    </w:p>
    <w:p>
      <w:pPr>
        <w:pStyle w:val="FirstParagraph"/>
      </w:pPr>
      <w:r>
        <w:t xml:space="preserve">Demo project, single-sprint creation. One-day initial creation, maintenance thereafter.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End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Concept + setup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+ architecture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Implementation of demo components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Tests + CI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v1.0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</w:tbl>
    <w:bookmarkEnd w:id="26"/>
    <w:bookmarkStart w:id="27" w:name="budget"/>
    <w:p>
      <w:pPr>
        <w:pStyle w:val="Heading2"/>
      </w:pPr>
      <w:r>
        <w:t xml:space="preserve">7. Budget</w:t>
      </w:r>
    </w:p>
    <w:p>
      <w:pPr>
        <w:pStyle w:val="FirstParagraph"/>
      </w:pPr>
      <w:r>
        <w:t xml:space="preserve">Demo project, no external budget. Internal effort.</w:t>
      </w:r>
    </w:p>
    <w:bookmarkEnd w:id="27"/>
    <w:bookmarkStart w:id="28" w:name="risks"/>
    <w:p>
      <w:pPr>
        <w:pStyle w:val="Heading2"/>
      </w:pPr>
      <w:r>
        <w:t xml:space="preserve">8. Risks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94"/>
        <w:gridCol w:w="841"/>
        <w:gridCol w:w="560"/>
        <w:gridCol w:w="32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Likelihood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Demo is mistaken for production-ready code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Disclaimer in README + plain labelling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tooling update breaks CI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Pin tool versions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availability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Self-review documented (demo only)</w:t>
            </w:r>
          </w:p>
        </w:tc>
      </w:tr>
    </w:tbl>
    <w:bookmarkEnd w:id="28"/>
    <w:bookmarkStart w:id="29" w:name="success-criteria"/>
    <w:p>
      <w:pPr>
        <w:pStyle w:val="Heading2"/>
      </w:pPr>
      <w:r>
        <w:t xml:space="preserve">9. Success criteria</w:t>
      </w:r>
    </w:p>
    <w:p>
      <w:pPr>
        <w:pStyle w:val="Compact"/>
        <w:numPr>
          <w:ilvl w:val="0"/>
          <w:numId w:val="1003"/>
        </w:numPr>
      </w:pPr>
      <w:r>
        <w:t xml:space="preserve">All 35 requirements are linked and covered by architecture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doorstop check</w:t>
      </w:r>
      <w:r>
        <w:t xml:space="preserve"> </w:t>
      </w:r>
      <w:r>
        <w:t xml:space="preserve">is green</w:t>
      </w:r>
    </w:p>
    <w:p>
      <w:pPr>
        <w:pStyle w:val="Compact"/>
        <w:numPr>
          <w:ilvl w:val="0"/>
          <w:numId w:val="1003"/>
        </w:numPr>
      </w:pPr>
      <w:r>
        <w:t xml:space="preserve">MISRA check in CI is green (with documented deviations)</w:t>
      </w:r>
    </w:p>
    <w:p>
      <w:pPr>
        <w:pStyle w:val="Compact"/>
        <w:numPr>
          <w:ilvl w:val="0"/>
          <w:numId w:val="1003"/>
        </w:numPr>
      </w:pPr>
      <w:r>
        <w:t xml:space="preserve">Demo-component coverage meets target (see SWE Plan)</w:t>
      </w:r>
    </w:p>
    <w:p>
      <w:pPr>
        <w:pStyle w:val="Compact"/>
        <w:numPr>
          <w:ilvl w:val="0"/>
          <w:numId w:val="1003"/>
        </w:numPr>
      </w:pPr>
      <w:r>
        <w:t xml:space="preserve">The guided tour in the README is navigable by a prospect in &lt; 30 min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2026-05-12T10:31:03Z</dcterms:created>
  <dcterms:modified xsi:type="dcterms:W3CDTF">2026-05-12T10:31:03Z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