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31" w:name="software-development-plan-swe-plan"/>
    <w:p>
      <w:pPr>
        <w:pStyle w:val="Heading1"/>
      </w:pPr>
      <w:r>
        <w:t xml:space="preserve">Software Development Plan (SWE Plan)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Project</w:t>
            </w:r>
          </w:p>
        </w:tc>
        <w:tc>
          <w:tcPr/>
          <w:p>
            <w:pPr>
              <w:pStyle w:val="Compact"/>
            </w:pPr>
            <w:r>
              <w:t xml:space="preserve">demo-epb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2026-05-11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1.0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Released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ASIL</w:t>
            </w:r>
          </w:p>
        </w:tc>
        <w:tc>
          <w:tcPr/>
          <w:p>
            <w:pPr>
              <w:pStyle w:val="Compact"/>
            </w:pPr>
            <w:r>
              <w:t xml:space="preserve">D (highest component)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1" w:name="development-method"/>
    <w:p>
      <w:pPr>
        <w:pStyle w:val="Heading2"/>
      </w:pPr>
      <w:r>
        <w:t xml:space="preserve">1. Development method</w:t>
      </w:r>
    </w:p>
    <w:p>
      <w:pPr>
        <w:pStyle w:val="FirstParagraph"/>
      </w:pPr>
      <w:r>
        <w:t xml:space="preserve">V-model per ISO 26262 Part 6, iterative within phases. Left side: requirements → architecture → detailed design → implementation. Right side: unit test → integration test → system test.</w:t>
      </w:r>
    </w:p>
    <w:p>
      <w:pPr>
        <w:pStyle w:val="BodyText"/>
      </w:pPr>
      <w:r>
        <w:t xml:space="preserve">Changes go through pull requests (change requests are tracked separately in a real project).</w:t>
      </w:r>
    </w:p>
    <w:bookmarkEnd w:id="21"/>
    <w:bookmarkStart w:id="23" w:name="programming-language-and-standards"/>
    <w:p>
      <w:pPr>
        <w:pStyle w:val="Heading2"/>
      </w:pPr>
      <w:r>
        <w:t xml:space="preserve">2. Programming language and standards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247"/>
        <w:gridCol w:w="567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Aspect</w:t>
            </w:r>
          </w:p>
        </w:tc>
        <w:tc>
          <w:tcPr/>
          <w:p>
            <w:pPr>
              <w:pStyle w:val="Compact"/>
            </w:pPr>
            <w:r>
              <w:t xml:space="preserve">Decision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Language</w:t>
            </w:r>
          </w:p>
        </w:tc>
        <w:tc>
          <w:tcPr/>
          <w:p>
            <w:pPr>
              <w:pStyle w:val="Compact"/>
            </w:pPr>
            <w:r>
              <w:t xml:space="preserve">C (C99)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Coding standard</w:t>
            </w:r>
          </w:p>
        </w:tc>
        <w:tc>
          <w:tcPr/>
          <w:p>
            <w:pPr>
              <w:pStyle w:val="Compact"/>
            </w:pPr>
            <w:r>
              <w:t xml:space="preserve">MISRA C:2012 (Required + Mandatory mandatory)</w:t>
            </w:r>
          </w:p>
        </w:tc>
      </w:tr>
      <w:tr>
        <w:tc>
          <w:tcPr/>
          <w:p>
            <w:pPr>
              <w:pStyle w:val="Compact"/>
            </w:pPr>
            <w:r>
              <w:t xml:space="preserve">Naming</w:t>
            </w:r>
          </w:p>
        </w:tc>
        <w:tc>
          <w:tcPr/>
          <w:p>
            <w:pPr>
              <w:pStyle w:val="Compact"/>
            </w:pPr>
            <w:r>
              <w:t xml:space="preserve">snake_case for functions, UPPER_CASE for macros</w:t>
            </w:r>
          </w:p>
        </w:tc>
      </w:tr>
      <w:tr>
        <w:tc>
          <w:tcPr/>
          <w:p>
            <w:pPr>
              <w:pStyle w:val="Compact"/>
            </w:pPr>
            <w:r>
              <w:t xml:space="preserve">Header format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@file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@arch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@reqs</w:t>
            </w:r>
            <w:r>
              <w:t xml:space="preserve"> </w:t>
            </w:r>
            <w:r>
              <w:t xml:space="preserve">tags linking code to docs</w:t>
            </w:r>
          </w:p>
        </w:tc>
      </w:tr>
    </w:tbl>
    <w:bookmarkStart w:id="22" w:name="misra-handling"/>
    <w:p>
      <w:pPr>
        <w:pStyle w:val="Heading3"/>
      </w:pPr>
      <w:r>
        <w:t xml:space="preserve">MISRA handling</w:t>
      </w:r>
    </w:p>
    <w:p>
      <w:pPr>
        <w:pStyle w:val="Compact"/>
        <w:numPr>
          <w:ilvl w:val="0"/>
          <w:numId w:val="1001"/>
        </w:numPr>
      </w:pPr>
      <w:r>
        <w:t xml:space="preserve">Required and Mandatory rules are mandatory</w:t>
      </w:r>
    </w:p>
    <w:p>
      <w:pPr>
        <w:pStyle w:val="Compact"/>
        <w:numPr>
          <w:ilvl w:val="0"/>
          <w:numId w:val="1001"/>
        </w:numPr>
      </w:pPr>
      <w:r>
        <w:t xml:space="preserve">Advisory rules are project-specific (see</w:t>
      </w:r>
      <w:r>
        <w:t xml:space="preserve"> </w:t>
      </w:r>
      <w:r>
        <w:rPr>
          <w:rStyle w:val="VerbatimChar"/>
        </w:rPr>
        <w:t xml:space="preserve">misra/permits/</w:t>
      </w:r>
      <w:r>
        <w:t xml:space="preserve">)</w:t>
      </w:r>
    </w:p>
    <w:p>
      <w:pPr>
        <w:pStyle w:val="Compact"/>
        <w:numPr>
          <w:ilvl w:val="0"/>
          <w:numId w:val="1001"/>
        </w:numPr>
      </w:pPr>
      <w:r>
        <w:t xml:space="preserve">Per-site deviations: MISRA deviation record (</w:t>
      </w:r>
      <w:r>
        <w:rPr>
          <w:rStyle w:val="VerbatimChar"/>
        </w:rPr>
        <w:t xml:space="preserve">misra/records/</w:t>
      </w:r>
      <w:r>
        <w:t xml:space="preserve">)</w:t>
      </w:r>
    </w:p>
    <w:p>
      <w:pPr>
        <w:pStyle w:val="Compact"/>
        <w:numPr>
          <w:ilvl w:val="0"/>
          <w:numId w:val="1001"/>
        </w:numPr>
      </w:pPr>
      <w:r>
        <w:t xml:space="preserve">Project-wide deviations: MISRA deviation permit (</w:t>
      </w:r>
      <w:r>
        <w:rPr>
          <w:rStyle w:val="VerbatimChar"/>
        </w:rPr>
        <w:t xml:space="preserve">misra/permits/</w:t>
      </w:r>
      <w:r>
        <w:t xml:space="preserve">)</w:t>
      </w:r>
    </w:p>
    <w:p>
      <w:pPr>
        <w:pStyle w:val="Compact"/>
        <w:numPr>
          <w:ilvl w:val="0"/>
          <w:numId w:val="1001"/>
        </w:numPr>
      </w:pPr>
      <w:r>
        <w:t xml:space="preserve">MISRA check runs in CI (</w:t>
      </w:r>
      <w:r>
        <w:rPr>
          <w:rStyle w:val="VerbatimChar"/>
        </w:rPr>
        <w:t xml:space="preserve">cppcheck --addon=misra --error-exitcode=1</w:t>
      </w:r>
      <w:r>
        <w:t xml:space="preserve">)</w:t>
      </w:r>
    </w:p>
    <w:bookmarkEnd w:id="22"/>
    <w:bookmarkEnd w:id="23"/>
    <w:bookmarkStart w:id="24" w:name="build-environment"/>
    <w:p>
      <w:pPr>
        <w:pStyle w:val="Heading2"/>
      </w:pPr>
      <w:r>
        <w:t xml:space="preserve">3. Build environment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169"/>
        <w:gridCol w:w="575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Component</w:t>
            </w:r>
          </w:p>
        </w:tc>
        <w:tc>
          <w:tcPr/>
          <w:p>
            <w:pPr>
              <w:pStyle w:val="Compact"/>
            </w:pPr>
            <w:r>
              <w:t xml:space="preserve">Tool / Version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Build system</w:t>
            </w:r>
          </w:p>
        </w:tc>
        <w:tc>
          <w:tcPr/>
          <w:p>
            <w:pPr>
              <w:pStyle w:val="Compact"/>
            </w:pPr>
            <w:r>
              <w:t xml:space="preserve">CMake 3.20+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Compiler</w:t>
            </w:r>
          </w:p>
        </w:tc>
        <w:tc>
          <w:tcPr/>
          <w:p>
            <w:pPr>
              <w:pStyle w:val="Compact"/>
            </w:pPr>
            <w:r>
              <w:t xml:space="preserve">GCC (host for demo tests; ARM-GCC for target)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Target platform</w:t>
            </w:r>
          </w:p>
        </w:tc>
        <w:tc>
          <w:tcPr/>
          <w:p>
            <w:pPr>
              <w:pStyle w:val="Compact"/>
            </w:pPr>
            <w:r>
              <w:t xml:space="preserve">ARM Cortex-M4 (assumption; demo tests run on x86_64 host)</w:t>
            </w:r>
          </w:p>
        </w:tc>
      </w:tr>
      <w:tr>
        <w:tc>
          <w:tcPr/>
          <w:p>
            <w:pPr>
              <w:pStyle w:val="Compact"/>
            </w:pPr>
            <w:r>
              <w:t xml:space="preserve">Host platform</w:t>
            </w:r>
          </w:p>
        </w:tc>
        <w:tc>
          <w:tcPr/>
          <w:p>
            <w:pPr>
              <w:pStyle w:val="Compact"/>
            </w:pPr>
            <w:r>
              <w:t xml:space="preserve">macOS / Linux x86_64</w:t>
            </w:r>
          </w:p>
        </w:tc>
      </w:tr>
      <w:tr>
        <w:tc>
          <w:tcPr/>
          <w:p>
            <w:pPr>
              <w:pStyle w:val="Compact"/>
            </w:pPr>
            <w:r>
              <w:t xml:space="preserve">CI runner</w:t>
            </w:r>
          </w:p>
        </w:tc>
        <w:tc>
          <w:tcPr/>
          <w:p>
            <w:pPr>
              <w:pStyle w:val="Compact"/>
            </w:pPr>
            <w:r>
              <w:t xml:space="preserve">Gitea Actions Docker image</w:t>
            </w:r>
          </w:p>
        </w:tc>
      </w:tr>
    </w:tbl>
    <w:bookmarkEnd w:id="24"/>
    <w:bookmarkStart w:id="25" w:name="branching-strategy"/>
    <w:p>
      <w:pPr>
        <w:pStyle w:val="Heading2"/>
      </w:pPr>
      <w:r>
        <w:t xml:space="preserve">4. Branching strategy</w:t>
      </w:r>
    </w:p>
    <w:p>
      <w:pPr>
        <w:pStyle w:val="SourceCode"/>
      </w:pPr>
      <w:r>
        <w:rPr>
          <w:rStyle w:val="VerbatimChar"/>
        </w:rPr>
        <w:t xml:space="preserve">main              — stable, released state</w:t>
      </w:r>
      <w:r>
        <w:br/>
      </w:r>
      <w:r>
        <w:rPr>
          <w:rStyle w:val="VerbatimChar"/>
        </w:rPr>
        <w:t xml:space="preserve">develop           — current development state</w:t>
      </w:r>
      <w:r>
        <w:br/>
      </w:r>
      <w:r>
        <w:rPr>
          <w:rStyle w:val="VerbatimChar"/>
        </w:rPr>
        <w:t xml:space="preserve">feature/SWE-XXX   — feature branch per requirement</w:t>
      </w:r>
      <w:r>
        <w:br/>
      </w:r>
      <w:r>
        <w:rPr>
          <w:rStyle w:val="VerbatimChar"/>
        </w:rPr>
        <w:t xml:space="preserve">bugfix/BUG-XXX    — bug-fix branch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main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develop</w:t>
      </w:r>
      <w:r>
        <w:t xml:space="preserve"> </w:t>
      </w:r>
      <w:r>
        <w:t xml:space="preserve">are protected (no direct push)</w:t>
      </w:r>
    </w:p>
    <w:p>
      <w:pPr>
        <w:pStyle w:val="Compact"/>
        <w:numPr>
          <w:ilvl w:val="0"/>
          <w:numId w:val="1002"/>
        </w:numPr>
      </w:pPr>
      <w:r>
        <w:t xml:space="preserve">Merge only via PR with approval</w:t>
      </w:r>
    </w:p>
    <w:p>
      <w:pPr>
        <w:pStyle w:val="Compact"/>
        <w:numPr>
          <w:ilvl w:val="0"/>
          <w:numId w:val="1002"/>
        </w:numPr>
      </w:pPr>
      <w:r>
        <w:t xml:space="preserve">Branch name includes the issue or requirement number</w:t>
      </w:r>
    </w:p>
    <w:bookmarkEnd w:id="25"/>
    <w:bookmarkStart w:id="26" w:name="review-obligations"/>
    <w:p>
      <w:pPr>
        <w:pStyle w:val="Heading2"/>
      </w:pPr>
      <w:r>
        <w:t xml:space="preserve">5. Review obligations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Artefact</w:t>
            </w:r>
          </w:p>
        </w:tc>
        <w:tc>
          <w:tcPr/>
          <w:p>
            <w:pPr>
              <w:pStyle w:val="Compact"/>
            </w:pPr>
            <w:r>
              <w:t xml:space="preserve">Review type</w:t>
            </w:r>
          </w:p>
        </w:tc>
        <w:tc>
          <w:tcPr/>
          <w:p>
            <w:pPr>
              <w:pStyle w:val="Compact"/>
            </w:pPr>
            <w:r>
              <w:t xml:space="preserve">Min. approvals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Source code QM / ASIL-A/B</w:t>
            </w:r>
          </w:p>
        </w:tc>
        <w:tc>
          <w:tcPr/>
          <w:p>
            <w:pPr>
              <w:pStyle w:val="Compact"/>
            </w:pPr>
            <w:r>
              <w:t xml:space="preserve">Peer review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Source code ASIL-C/D</w:t>
            </w:r>
          </w:p>
        </w:tc>
        <w:tc>
          <w:tcPr/>
          <w:p>
            <w:pPr>
              <w:pStyle w:val="Compact"/>
            </w:pPr>
            <w:r>
              <w:t xml:space="preserve">Technical review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</w:tr>
      <w:tr>
        <w:tc>
          <w:tcPr/>
          <w:p>
            <w:pPr>
              <w:pStyle w:val="Compact"/>
            </w:pPr>
            <w:r>
              <w:t xml:space="preserve">Architecture document</w:t>
            </w:r>
          </w:p>
        </w:tc>
        <w:tc>
          <w:tcPr/>
          <w:p>
            <w:pPr>
              <w:pStyle w:val="Compact"/>
            </w:pPr>
            <w:r>
              <w:t xml:space="preserve">Technical review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Requirement</w:t>
            </w:r>
          </w:p>
        </w:tc>
        <w:tc>
          <w:tcPr/>
          <w:p>
            <w:pPr>
              <w:pStyle w:val="Compact"/>
            </w:pPr>
            <w:r>
              <w:t xml:space="preserve">Technical review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Test cases</w:t>
            </w:r>
          </w:p>
        </w:tc>
        <w:tc>
          <w:tcPr/>
          <w:p>
            <w:pPr>
              <w:pStyle w:val="Compact"/>
            </w:pPr>
            <w:r>
              <w:t xml:space="preserve">Peer review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MISRA permit</w:t>
            </w:r>
          </w:p>
        </w:tc>
        <w:tc>
          <w:tcPr/>
          <w:p>
            <w:pPr>
              <w:pStyle w:val="Compact"/>
            </w:pPr>
            <w:r>
              <w:t xml:space="preserve">Technical lead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</w:tr>
    </w:tbl>
    <w:p>
      <w:pPr>
        <w:pStyle w:val="BodyText"/>
      </w:pPr>
      <w:r>
        <w:t xml:space="preserve">Single-person demo: self-review with documented checklist; not permissible in a real project.</w:t>
      </w:r>
    </w:p>
    <w:bookmarkEnd w:id="26"/>
    <w:bookmarkStart w:id="27" w:name="definition-of-done"/>
    <w:p>
      <w:pPr>
        <w:pStyle w:val="Heading2"/>
      </w:pPr>
      <w:r>
        <w:t xml:space="preserve">6. Definition of Done</w:t>
      </w:r>
    </w:p>
    <w:p>
      <w:pPr>
        <w:pStyle w:val="Compact"/>
        <w:numPr>
          <w:ilvl w:val="0"/>
          <w:numId w:val="1003"/>
        </w:numPr>
      </w:pPr>
      <w:r>
        <w:t xml:space="preserve">Code compiles without errors</w:t>
      </w:r>
    </w:p>
    <w:p>
      <w:pPr>
        <w:pStyle w:val="Compact"/>
        <w:numPr>
          <w:ilvl w:val="0"/>
          <w:numId w:val="1003"/>
        </w:numPr>
      </w:pPr>
      <w:r>
        <w:t xml:space="preserve">MISRA check in CI is green</w:t>
      </w:r>
    </w:p>
    <w:p>
      <w:pPr>
        <w:pStyle w:val="Compact"/>
        <w:numPr>
          <w:ilvl w:val="0"/>
          <w:numId w:val="1003"/>
        </w:numPr>
      </w:pPr>
      <w:r>
        <w:t xml:space="preserve">Static analysis (Cppcheck, clang-tidy) has no new findings</w:t>
      </w:r>
    </w:p>
    <w:p>
      <w:pPr>
        <w:pStyle w:val="Compact"/>
        <w:numPr>
          <w:ilvl w:val="0"/>
          <w:numId w:val="1003"/>
        </w:numPr>
      </w:pPr>
      <w:r>
        <w:t xml:space="preserve">Unit tests are green</w:t>
      </w:r>
    </w:p>
    <w:p>
      <w:pPr>
        <w:pStyle w:val="Compact"/>
        <w:numPr>
          <w:ilvl w:val="0"/>
          <w:numId w:val="1003"/>
        </w:numPr>
      </w:pPr>
      <w:r>
        <w:t xml:space="preserve">Coverage target reached</w:t>
      </w:r>
    </w:p>
    <w:p>
      <w:pPr>
        <w:pStyle w:val="Compact"/>
        <w:numPr>
          <w:ilvl w:val="0"/>
          <w:numId w:val="1003"/>
        </w:numPr>
      </w:pPr>
      <w:r>
        <w:t xml:space="preserve">PR reviewed and approved</w:t>
      </w:r>
    </w:p>
    <w:p>
      <w:pPr>
        <w:pStyle w:val="Compact"/>
        <w:numPr>
          <w:ilvl w:val="0"/>
          <w:numId w:val="1003"/>
        </w:numPr>
      </w:pPr>
      <w:r>
        <w:t xml:space="preserve">Requirement linked to a test (</w:t>
      </w:r>
      <w:r>
        <w:rPr>
          <w:rStyle w:val="VerbatimChar"/>
        </w:rPr>
        <w:t xml:space="preserve">@reqs</w:t>
      </w:r>
      <w:r>
        <w:t xml:space="preserve"> </w:t>
      </w:r>
      <w:r>
        <w:t xml:space="preserve">tag in code + test file)</w:t>
      </w:r>
    </w:p>
    <w:p>
      <w:pPr>
        <w:pStyle w:val="Compact"/>
        <w:numPr>
          <w:ilvl w:val="0"/>
          <w:numId w:val="1003"/>
        </w:numPr>
      </w:pPr>
      <w:r>
        <w:t xml:space="preserve">Architecture element linked (</w:t>
      </w:r>
      <w:r>
        <w:rPr>
          <w:rStyle w:val="VerbatimChar"/>
        </w:rPr>
        <w:t xml:space="preserve">@arch</w:t>
      </w:r>
      <w:r>
        <w:t xml:space="preserve"> </w:t>
      </w:r>
      <w:r>
        <w:t xml:space="preserve">tag in code)</w:t>
      </w:r>
    </w:p>
    <w:bookmarkEnd w:id="27"/>
    <w:bookmarkStart w:id="28" w:name="integration-and-test-strategy"/>
    <w:p>
      <w:pPr>
        <w:pStyle w:val="Heading2"/>
      </w:pPr>
      <w:r>
        <w:t xml:space="preserve">7. Integration and test strategy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295"/>
        <w:gridCol w:w="1836"/>
        <w:gridCol w:w="1721"/>
        <w:gridCol w:w="2066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Test level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Environment</w:t>
            </w:r>
          </w:p>
        </w:tc>
        <w:tc>
          <w:tcPr/>
          <w:p>
            <w:pPr>
              <w:pStyle w:val="Compact"/>
            </w:pPr>
            <w:r>
              <w:t xml:space="preserve">Automation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Unit test</w:t>
            </w:r>
          </w:p>
        </w:tc>
        <w:tc>
          <w:tcPr/>
          <w:p>
            <w:pPr>
              <w:pStyle w:val="Compact"/>
            </w:pPr>
            <w:r>
              <w:t xml:space="preserve">Developer</w:t>
            </w:r>
          </w:p>
        </w:tc>
        <w:tc>
          <w:tcPr/>
          <w:p>
            <w:pPr>
              <w:pStyle w:val="Compact"/>
            </w:pPr>
            <w:r>
              <w:t xml:space="preserve">Host (x86)</w:t>
            </w:r>
          </w:p>
        </w:tc>
        <w:tc>
          <w:tcPr/>
          <w:p>
            <w:pPr>
              <w:pStyle w:val="Compact"/>
            </w:pPr>
            <w:r>
              <w:t xml:space="preserve">CI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Integration test</w:t>
            </w:r>
          </w:p>
        </w:tc>
        <w:tc>
          <w:tcPr/>
          <w:p>
            <w:pPr>
              <w:pStyle w:val="Compact"/>
            </w:pPr>
            <w:r>
              <w:t xml:space="preserve">Developer</w:t>
            </w:r>
          </w:p>
        </w:tc>
        <w:tc>
          <w:tcPr/>
          <w:p>
            <w:pPr>
              <w:pStyle w:val="Compact"/>
            </w:pPr>
            <w:r>
              <w:t xml:space="preserve">Host / SiL</w:t>
            </w:r>
          </w:p>
        </w:tc>
        <w:tc>
          <w:tcPr/>
          <w:p>
            <w:pPr>
              <w:pStyle w:val="Compact"/>
            </w:pPr>
            <w:r>
              <w:t xml:space="preserve">CI / manual</w:t>
            </w:r>
          </w:p>
        </w:tc>
      </w:tr>
      <w:tr>
        <w:tc>
          <w:tcPr/>
          <w:p>
            <w:pPr>
              <w:pStyle w:val="Compact"/>
            </w:pPr>
            <w:r>
              <w:t xml:space="preserve">System test</w:t>
            </w:r>
          </w:p>
        </w:tc>
        <w:tc>
          <w:tcPr/>
          <w:p>
            <w:pPr>
              <w:pStyle w:val="Compact"/>
            </w:pPr>
            <w:r>
              <w:t xml:space="preserve">QA</w:t>
            </w:r>
          </w:p>
        </w:tc>
        <w:tc>
          <w:tcPr/>
          <w:p>
            <w:pPr>
              <w:pStyle w:val="Compact"/>
            </w:pPr>
            <w:r>
              <w:t xml:space="preserve">SiL / HiL</w:t>
            </w:r>
          </w:p>
        </w:tc>
        <w:tc>
          <w:tcPr/>
          <w:p>
            <w:pPr>
              <w:pStyle w:val="Compact"/>
            </w:pPr>
            <w:r>
              <w:t xml:space="preserve">partial</w:t>
            </w:r>
          </w:p>
        </w:tc>
      </w:tr>
      <w:tr>
        <w:tc>
          <w:tcPr/>
          <w:p>
            <w:pPr>
              <w:pStyle w:val="Compact"/>
            </w:pPr>
            <w:r>
              <w:t xml:space="preserve">Acceptance test</w:t>
            </w:r>
          </w:p>
        </w:tc>
        <w:tc>
          <w:tcPr/>
          <w:p>
            <w:pPr>
              <w:pStyle w:val="Compact"/>
            </w:pPr>
            <w:r>
              <w:t xml:space="preserve">Customer</w:t>
            </w:r>
          </w:p>
        </w:tc>
        <w:tc>
          <w:tcPr/>
          <w:p>
            <w:pPr>
              <w:pStyle w:val="Compact"/>
            </w:pPr>
            <w:r>
              <w:t xml:space="preserve">HiL / vehicle</w:t>
            </w:r>
          </w:p>
        </w:tc>
        <w:tc>
          <w:tcPr/>
          <w:p>
            <w:pPr>
              <w:pStyle w:val="Compact"/>
            </w:pPr>
            <w:r>
              <w:t xml:space="preserve">manual</w:t>
            </w:r>
          </w:p>
        </w:tc>
      </w:tr>
    </w:tbl>
    <w:p>
      <w:pPr>
        <w:pStyle w:val="BodyText"/>
      </w:pPr>
      <w:r>
        <w:t xml:space="preserve">Demo: only unit tests on host.</w:t>
      </w:r>
    </w:p>
    <w:bookmarkEnd w:id="28"/>
    <w:bookmarkStart w:id="29" w:name="coverage-targets"/>
    <w:p>
      <w:pPr>
        <w:pStyle w:val="Heading2"/>
      </w:pPr>
      <w:r>
        <w:t xml:space="preserve">8. Coverage targets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ASIL</w:t>
            </w:r>
          </w:p>
        </w:tc>
        <w:tc>
          <w:tcPr/>
          <w:p>
            <w:pPr>
              <w:pStyle w:val="Compact"/>
            </w:pPr>
            <w:r>
              <w:t xml:space="preserve">Statement</w:t>
            </w:r>
          </w:p>
        </w:tc>
        <w:tc>
          <w:tcPr/>
          <w:p>
            <w:pPr>
              <w:pStyle w:val="Compact"/>
            </w:pPr>
            <w:r>
              <w:t xml:space="preserve">Branch</w:t>
            </w:r>
          </w:p>
        </w:tc>
        <w:tc>
          <w:tcPr/>
          <w:p>
            <w:pPr>
              <w:pStyle w:val="Compact"/>
            </w:pPr>
            <w:r>
              <w:t xml:space="preserve">MC/DC</w:t>
            </w:r>
          </w:p>
        </w:tc>
        <w:tc>
          <w:tcPr/>
          <w:p>
            <w:pPr>
              <w:pStyle w:val="Compact"/>
            </w:pPr>
            <w:r>
              <w:t xml:space="preserve">Concrete in this project</w:t>
            </w:r>
          </w:p>
        </w:tc>
      </w:tr>
      <w:tr>
        <w:tc>
          <w:tcPr/>
          <w:p>
            <w:pPr>
              <w:pStyle w:val="Compact"/>
            </w:pPr>
            <w:r>
              <w:t xml:space="preserve">QM</w:t>
            </w:r>
          </w:p>
        </w:tc>
        <w:tc>
          <w:tcPr/>
          <w:p>
            <w:pPr>
              <w:pStyle w:val="Compact"/>
            </w:pPr>
            <w:r>
              <w:t xml:space="preserve">≥ 80%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Switch Debouncer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B</w:t>
            </w:r>
          </w:p>
        </w:tc>
        <w:tc>
          <w:tcPr/>
          <w:p>
            <w:pPr>
              <w:pStyle w:val="Compact"/>
            </w:pPr>
            <w:r>
              <w:t xml:space="preserve">≥ 80%</w:t>
            </w:r>
          </w:p>
        </w:tc>
        <w:tc>
          <w:tcPr/>
          <w:p>
            <w:pPr>
              <w:pStyle w:val="Compact"/>
            </w:pPr>
            <w:r>
              <w:t xml:space="preserve">≥ 80%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Actuator Driver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D</w:t>
            </w:r>
          </w:p>
        </w:tc>
        <w:tc>
          <w:tcPr/>
          <w:p>
            <w:pPr>
              <w:pStyle w:val="Compact"/>
            </w:pPr>
            <w:r>
              <w:t xml:space="preserve">≥ 90%</w:t>
            </w:r>
          </w:p>
        </w:tc>
        <w:tc>
          <w:tcPr/>
          <w:p>
            <w:pPr>
              <w:pStyle w:val="Compact"/>
            </w:pPr>
            <w:r>
              <w:t xml:space="preserve">≥ 90%</w:t>
            </w:r>
          </w:p>
        </w:tc>
        <w:tc>
          <w:tcPr/>
          <w:p>
            <w:pPr>
              <w:pStyle w:val="Compact"/>
            </w:pPr>
            <w:r>
              <w:t xml:space="preserve">≥ 80%</w:t>
            </w:r>
          </w:p>
        </w:tc>
        <w:tc>
          <w:tcPr/>
          <w:p>
            <w:pPr>
              <w:pStyle w:val="Compact"/>
            </w:pPr>
            <w:r>
              <w:t xml:space="preserve">Apply Controller</w:t>
            </w:r>
          </w:p>
        </w:tc>
      </w:tr>
    </w:tbl>
    <w:p>
      <w:pPr>
        <w:pStyle w:val="BodyText"/>
      </w:pPr>
      <w:r>
        <w:t xml:space="preserve">Coverage is measured via</w:t>
      </w:r>
      <w:r>
        <w:t xml:space="preserve"> </w:t>
      </w:r>
      <w:r>
        <w:rPr>
          <w:rStyle w:val="VerbatimChar"/>
        </w:rPr>
        <w:t xml:space="preserve">gcov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lcov</w:t>
      </w:r>
      <w:r>
        <w:t xml:space="preserve"> </w:t>
      </w:r>
      <w:r>
        <w:t xml:space="preserve">in CI and stored under</w:t>
      </w:r>
      <w:r>
        <w:t xml:space="preserve"> </w:t>
      </w:r>
      <w:r>
        <w:rPr>
          <w:rStyle w:val="VerbatimChar"/>
        </w:rPr>
        <w:t xml:space="preserve">tests/results/coverage/</w:t>
      </w:r>
      <w:r>
        <w:t xml:space="preserve">.</w:t>
      </w:r>
    </w:p>
    <w:bookmarkEnd w:id="29"/>
    <w:bookmarkStart w:id="30" w:name="tool-qualification"/>
    <w:p>
      <w:pPr>
        <w:pStyle w:val="Heading2"/>
      </w:pPr>
      <w:r>
        <w:t xml:space="preserve">9. Tool qualification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67"/>
        <w:gridCol w:w="2475"/>
        <w:gridCol w:w="387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Tool</w:t>
            </w:r>
          </w:p>
        </w:tc>
        <w:tc>
          <w:tcPr/>
          <w:p>
            <w:pPr>
              <w:pStyle w:val="Compact"/>
            </w:pPr>
            <w:r>
              <w:t xml:space="preserve">Use</w:t>
            </w:r>
          </w:p>
        </w:tc>
        <w:tc>
          <w:tcPr/>
          <w:p>
            <w:pPr>
              <w:pStyle w:val="Compact"/>
            </w:pPr>
            <w:r>
              <w:t xml:space="preserve">Qualification status (demo)</w:t>
            </w:r>
          </w:p>
        </w:tc>
      </w:tr>
      <w:tr>
        <w:tc>
          <w:tcPr/>
          <w:p>
            <w:pPr>
              <w:pStyle w:val="Compact"/>
            </w:pPr>
            <w:r>
              <w:t xml:space="preserve">GCC</w:t>
            </w:r>
          </w:p>
        </w:tc>
        <w:tc>
          <w:tcPr/>
          <w:p>
            <w:pPr>
              <w:pStyle w:val="Compact"/>
            </w:pPr>
            <w:r>
              <w:t xml:space="preserve">Compilation</w:t>
            </w:r>
          </w:p>
        </w:tc>
        <w:tc>
          <w:tcPr/>
          <w:p>
            <w:pPr>
              <w:pStyle w:val="Compact"/>
            </w:pPr>
            <w:r>
              <w:t xml:space="preserve">Own qualification (in real project)</w:t>
            </w:r>
          </w:p>
        </w:tc>
      </w:tr>
      <w:tr>
        <w:tc>
          <w:tcPr/>
          <w:p>
            <w:pPr>
              <w:pStyle w:val="Compact"/>
            </w:pPr>
            <w:r>
              <w:t xml:space="preserve">Cppcheck + MISRA</w:t>
            </w:r>
          </w:p>
        </w:tc>
        <w:tc>
          <w:tcPr/>
          <w:p>
            <w:pPr>
              <w:pStyle w:val="Compact"/>
            </w:pPr>
            <w:r>
              <w:t xml:space="preserve">Static analysis / MISRA</w:t>
            </w:r>
          </w:p>
        </w:tc>
        <w:tc>
          <w:tcPr/>
          <w:p>
            <w:pPr>
              <w:pStyle w:val="Compact"/>
            </w:pPr>
            <w:r>
              <w:t xml:space="preserve">Tool Confidence Level TCL2 / Tool Class T2</w:t>
            </w:r>
          </w:p>
        </w:tc>
      </w:tr>
      <w:tr>
        <w:tc>
          <w:tcPr/>
          <w:p>
            <w:pPr>
              <w:pStyle w:val="Compact"/>
            </w:pPr>
            <w:r>
              <w:t xml:space="preserve">CppUTest</w:t>
            </w:r>
          </w:p>
        </w:tc>
        <w:tc>
          <w:tcPr/>
          <w:p>
            <w:pPr>
              <w:pStyle w:val="Compact"/>
            </w:pPr>
            <w:r>
              <w:t xml:space="preserve">Unit tests</w:t>
            </w:r>
          </w:p>
        </w:tc>
        <w:tc>
          <w:tcPr/>
          <w:p>
            <w:pPr>
              <w:pStyle w:val="Compact"/>
            </w:pPr>
            <w:r>
              <w:t xml:space="preserve">TCL1 / T1 (defects caught by developer)</w:t>
            </w:r>
          </w:p>
        </w:tc>
      </w:tr>
      <w:tr>
        <w:tc>
          <w:tcPr/>
          <w:p>
            <w:pPr>
              <w:pStyle w:val="Compact"/>
            </w:pPr>
            <w:r>
              <w:t xml:space="preserve">gcov / lcov</w:t>
            </w:r>
          </w:p>
        </w:tc>
        <w:tc>
          <w:tcPr/>
          <w:p>
            <w:pPr>
              <w:pStyle w:val="Compact"/>
            </w:pPr>
            <w:r>
              <w:t xml:space="preserve">Coverage</w:t>
            </w:r>
          </w:p>
        </w:tc>
        <w:tc>
          <w:tcPr/>
          <w:p>
            <w:pPr>
              <w:pStyle w:val="Compact"/>
            </w:pPr>
            <w:r>
              <w:t xml:space="preserve">TCL1 / T1</w:t>
            </w:r>
          </w:p>
        </w:tc>
      </w:tr>
      <w:tr>
        <w:tc>
          <w:tcPr/>
          <w:p>
            <w:pPr>
              <w:pStyle w:val="Compact"/>
            </w:pPr>
            <w:r>
              <w:t xml:space="preserve">Doorstop</w:t>
            </w:r>
          </w:p>
        </w:tc>
        <w:tc>
          <w:tcPr/>
          <w:p>
            <w:pPr>
              <w:pStyle w:val="Compact"/>
            </w:pPr>
            <w:r>
              <w:t xml:space="preserve">Traceability</w:t>
            </w:r>
          </w:p>
        </w:tc>
        <w:tc>
          <w:tcPr/>
          <w:p>
            <w:pPr>
              <w:pStyle w:val="Compact"/>
            </w:pPr>
            <w:r>
              <w:t xml:space="preserve">TCL1 / T1</w:t>
            </w:r>
          </w:p>
        </w:tc>
      </w:tr>
    </w:tbl>
    <w:p>
      <w:pPr>
        <w:pStyle w:val="BodyText"/>
      </w:pPr>
      <w:r>
        <w:t xml:space="preserve">The demo does not include full tool-qualification reports; in a real project these would live in an appendix.</w:t>
      </w:r>
    </w:p>
    <w:bookmarkEnd w:id="30"/>
    <w:bookmarkEnd w:id="31"/>
    <w:sectPr w:rsidR="00FC693F" w:rsidRPr="0006063C" w:rsidSect="00034616">
      <w:headerReference r:id="rId9" w:type="default"/>
      <w:footerReference r:id="rId10" w:type="default"/>
      <w:headerReference r:id="rId11" w:type="first"/>
      <w:footerReference r:id="rId12" w:type="first"/>
      <w:pgSz w:h="15840" w:w="12240"/>
      <w:pgMar w:bottom="1417" w:footer="709" w:gutter="0" w:header="709" w:left="1417" w:right="1417" w:top="1417"/>
      <w:cols w:space="720"/>
      <w:titlePg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535" w:val="center"/>
        <w:tab w:pos="9071" w:val="right"/>
      </w:tabs>
      <w:jc w:val="left"/>
    </w:pPr>
    <w:r>
      <w:rPr>
        <w:color w:val="595959"/>
        <w:sz w:val="18"/>
      </w:rPr>
      <w:t>© slohmaier.com</w:t>
    </w:r>
    <w:r>
      <w:tab/>
    </w:r>
    <w:r>
      <w:rPr>
        <w:b/>
        <w:color w:val="595959"/>
        <w:sz w:val="18"/>
      </w:rPr>
      <w:t>CONFIDENTIAL</w:t>
    </w:r>
    <w:r>
      <w:tab/>
    </w:r>
    <w:r>
      <w:rPr>
        <w:color w:val="595959"/>
        <w:sz w:val="18"/>
      </w:rPr>
      <w:t xml:space="preserve">Page </w:t>
    </w:r>
    <w:r>
      <w:fldChar w:fldCharType="begin"/>
      <w:instrText xml:space="preserve">PAGE</w:instrText>
      <w:fldChar w:fldCharType="separate"/>
      <w:t>1</w:t>
      <w:fldChar w:fldCharType="end"/>
    </w:r>
    <w:r>
      <w:rPr>
        <w:color w:val="595959"/>
        <w:sz w:val="18"/>
      </w:rPr>
      <w:t xml:space="preserve"> / </w:t>
    </w:r>
    <w:r>
      <w:fldChar w:fldCharType="begin"/>
      <w:instrText xml:space="preserve">NUMPAGES</w:instrText>
      <w:fldChar w:fldCharType="separate"/>
      <w:t>1</w: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4535" w:val="center"/>
        <w:tab w:pos="9071" w:val="right"/>
      </w:tabs>
      <w:jc w:val="left"/>
    </w:pPr>
    <w:r>
      <w:rPr>
        <w:color w:val="595959"/>
        <w:sz w:val="18"/>
      </w:rPr>
      <w:t>&lt;PROJECT&gt;</w:t>
    </w:r>
    <w:r>
      <w:tab/>
    </w:r>
    <w:r>
      <w:rPr>
        <w:b/>
        <w:color w:val="595959"/>
        <w:sz w:val="18"/>
      </w:rPr>
      <w:t>&lt;DOCUMENT-TITLE&gt;</w:t>
    </w:r>
    <w:r>
      <w:tab/>
    </w:r>
    <w:r>
      <w:rPr>
        <w:color w:val="595959"/>
        <w:sz w:val="18"/>
      </w:rPr>
      <w:t>&lt;DOC-ID&gt;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120" w:line="276" w:lineRule="auto"/>
    </w:pPr>
    <w:rPr>
      <w:rFonts w:ascii="Calibri" w:hAnsi="Calibri"/>
      <w:color w:val="202020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360"/>
      <w:outlineLvl w:val="0"/>
    </w:pPr>
    <w:rPr>
      <w:rFonts w:ascii="Calibri" w:asciiTheme="majorHAnsi" w:cstheme="majorBidi" w:eastAsiaTheme="majorEastAsia" w:hAnsi="Calibri" w:hAnsiTheme="majorHAnsi"/>
      <w:b/>
      <w:bCs/>
      <w:color w:val="1F3864"/>
      <w:sz w:val="3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120" w:before="240"/>
      <w:outlineLvl w:val="1"/>
    </w:pPr>
    <w:rPr>
      <w:rFonts w:ascii="Calibri" w:asciiTheme="majorHAnsi" w:cstheme="majorBidi" w:eastAsiaTheme="majorEastAsia" w:hAnsi="Calibri" w:hAnsiTheme="majorHAnsi"/>
      <w:b/>
      <w:bCs/>
      <w:color w:val="1F3864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80" w:before="160"/>
      <w:outlineLvl w:val="2"/>
    </w:pPr>
    <w:rPr>
      <w:rFonts w:ascii="Calibri" w:asciiTheme="majorHAnsi" w:cstheme="majorBidi" w:eastAsiaTheme="majorEastAsia" w:hAnsi="Calibri" w:hAnsiTheme="majorHAnsi"/>
      <w:b/>
      <w:bCs/>
      <w:color w:val="404040"/>
      <w:sz w:val="24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80" w:before="120"/>
      <w:outlineLvl w:val="3"/>
    </w:pPr>
    <w:rPr>
      <w:rFonts w:ascii="Calibri" w:asciiTheme="majorHAnsi" w:cstheme="majorBidi" w:eastAsiaTheme="majorEastAsia" w:hAnsi="Calibri" w:hAnsiTheme="majorHAnsi"/>
      <w:b/>
      <w:bCs/>
      <w:i/>
      <w:iCs/>
      <w:color w:val="404040"/>
      <w:sz w:val="22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="Calibri" w:asciiTheme="majorHAnsi" w:cstheme="majorBidi" w:eastAsiaTheme="majorEastAsia" w:hAnsi="Calibri" w:hAnsiTheme="majorHAnsi"/>
      <w:b/>
      <w:color w:val="1F3864"/>
      <w:spacing w:val="5"/>
      <w:kern w:val="28"/>
      <w:sz w:val="7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="Calibri" w:asciiTheme="majorHAnsi" w:cstheme="majorBidi" w:eastAsiaTheme="majorEastAsia" w:hAnsi="Calibri" w:hAnsiTheme="majorHAnsi"/>
      <w:i/>
      <w:iCs/>
      <w:color w:val="595959"/>
      <w:spacing w:val="15"/>
      <w:sz w:val="32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Calibri" w:hAnsi="Calibri"/>
      <w:b/>
      <w:bCs/>
      <w:i/>
      <w:color w:val="595959"/>
      <w:sz w:val="20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Code" w:type="paragraph">
    <w:name w:val="Code"/>
    <w:basedOn w:val="Normal"/>
    <w:pPr>
      <w:spacing w:after="80" w:before="80"/>
      <w:ind w:left="283"/>
    </w:pPr>
    <w:rPr>
      <w:rFonts w:ascii="Consolas" w:hAnsi="Consolas"/>
      <w:sz w:val="20"/>
    </w:rPr>
  </w:style>
  <w:style w:customStyle="1" w:styleId="Note" w:type="paragraph">
    <w:name w:val="Note"/>
    <w:basedOn w:val="Normal"/>
    <w:pPr>
      <w:spacing w:after="120" w:before="120"/>
      <w:ind w:left="227"/>
    </w:pPr>
    <w:rPr>
      <w:rFonts w:ascii="Calibri" w:hAnsi="Calibri"/>
      <w:sz w:val="20"/>
    </w:rPr>
  </w:style>
  <w:style w:customStyle="1" w:styleId="Warning" w:type="paragraph">
    <w:name w:val="Warning"/>
    <w:basedOn w:val="Normal"/>
    <w:pPr>
      <w:ind w:left="227"/>
    </w:pPr>
    <w:rPr>
      <w:rFonts w:ascii="Calibri" w:hAnsi="Calibri"/>
      <w:b/>
      <w:sz w:val="20"/>
    </w:rPr>
  </w:style>
  <w:style w:customStyle="1" w:styleId="Requirement" w:type="paragraph">
    <w:name w:val="Requirement"/>
    <w:basedOn w:val="Normal"/>
    <w:pPr>
      <w:spacing w:after="120" w:before="120"/>
      <w:ind w:left="227"/>
    </w:pPr>
    <w:rPr>
      <w:rFonts w:ascii="Calibri" w:hAnsi="Calibri"/>
      <w:sz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0" Target="numbering.xml" /><Relationship Type="http://schemas.openxmlformats.org/officeDocument/2006/relationships/styles" Id="rId19" Target="styles.xml" /><Relationship Type="http://schemas.openxmlformats.org/officeDocument/2006/relationships/settings" Id="rId18" Target="settings.xml" /><Relationship Type="http://schemas.openxmlformats.org/officeDocument/2006/relationships/webSettings" Id="rId17" Target="webSettings.xml" /><Relationship Type="http://schemas.openxmlformats.org/officeDocument/2006/relationships/fontTable" Id="rId16" Target="fontTable.xml" /><Relationship Type="http://schemas.openxmlformats.org/officeDocument/2006/relationships/theme" Id="rId15" Target="theme/theme1.xml" /><Relationship Type="http://schemas.openxmlformats.org/officeDocument/2006/relationships/footnotes" Id="rId14" Target="footnotes.xml" /><Relationship Type="http://schemas.openxmlformats.org/officeDocument/2006/relationships/comments" Id="rId13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Id="rId11" Target="header2.xml" Type="http://schemas.openxmlformats.org/officeDocument/2006/relationships/header" /><Relationship Id="rId12" Target="footer2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2026-05-12T10:31:04Z</dcterms:created>
  <dcterms:modified xsi:type="dcterms:W3CDTF">2026-05-12T10:31:04Z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