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3" w:name="X8097ccd94238d20647bcebe168d1088f2c38bf4"/>
    <w:p>
      <w:pPr>
        <w:pStyle w:val="Heading1"/>
      </w:pPr>
      <w:r>
        <w:t xml:space="preserve">Verifikations-Bericht (V-Modell rechte Seite)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Dokument-ID</w:t>
            </w:r>
          </w:p>
        </w:tc>
        <w:tc>
          <w:tcPr/>
          <w:p>
            <w:pPr>
              <w:pStyle w:val="Compact"/>
            </w:pPr>
            <w:r>
              <w:t xml:space="preserve">SLM-EPB-VER-001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Norm</w:t>
            </w:r>
          </w:p>
        </w:tc>
        <w:tc>
          <w:tcPr/>
          <w:p>
            <w:pPr>
              <w:pStyle w:val="Compact"/>
            </w:pPr>
            <w:r>
              <w:t xml:space="preserve">ISO 26262 Part 6 §9 + §10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zweck"/>
    <w:p>
      <w:pPr>
        <w:pStyle w:val="Heading2"/>
      </w:pPr>
      <w:r>
        <w:t xml:space="preserve">1. Zweck</w:t>
      </w:r>
    </w:p>
    <w:p>
      <w:pPr>
        <w:pStyle w:val="FirstParagraph"/>
      </w:pPr>
      <w:r>
        <w:t xml:space="preserve">Zusammenfassender Verifikations-Nachweis fuer die EPB-Software v1.0. Belegt,</w:t>
      </w:r>
      <w:r>
        <w:t xml:space="preserve"> </w:t>
      </w:r>
      <w:r>
        <w:t xml:space="preserve">dass die Implementierung die spezifizierten Anforderungen erfuellt</w:t>
      </w:r>
      <w:r>
        <w:t xml:space="preserve"> </w:t>
      </w:r>
      <w:r>
        <w:t xml:space="preserve">(V-Modell rechte Seite, Test- und Verifikationsphase).</w:t>
      </w:r>
    </w:p>
    <w:bookmarkEnd w:id="21"/>
    <w:bookmarkStart w:id="22" w:name="verifikations-methoden"/>
    <w:p>
      <w:pPr>
        <w:pStyle w:val="Heading2"/>
      </w:pPr>
      <w:r>
        <w:t xml:space="preserve">2. Verifikations-Methoden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31"/>
        <w:gridCol w:w="488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Methode</w:t>
            </w:r>
          </w:p>
        </w:tc>
        <w:tc>
          <w:tcPr/>
          <w:p>
            <w:pPr>
              <w:pStyle w:val="Compact"/>
            </w:pPr>
            <w:r>
              <w:t xml:space="preserve">Verwendung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Statische Code-Analyse</w:t>
            </w:r>
          </w:p>
        </w:tc>
        <w:tc>
          <w:tcPr/>
          <w:p>
            <w:pPr>
              <w:pStyle w:val="Compact"/>
            </w:pPr>
            <w:r>
              <w:t xml:space="preserve">Cppcheck, clang-tidy, GCC -Wall -Wextra -Werror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MISRA-C:2012 Compliance-Check</w:t>
            </w:r>
          </w:p>
        </w:tc>
        <w:tc>
          <w:tcPr/>
          <w:p>
            <w:pPr>
              <w:pStyle w:val="Compact"/>
            </w:pPr>
            <w:r>
              <w:t xml:space="preserve">Cppcheck mit MISRA-Addon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Unit-Tests</w:t>
            </w:r>
          </w:p>
        </w:tc>
        <w:tc>
          <w:tcPr/>
          <w:p>
            <w:pPr>
              <w:pStyle w:val="Compact"/>
            </w:pPr>
            <w:r>
              <w:t xml:space="preserve">41 Tests, alle gruen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Coverage-Messung</w:t>
            </w:r>
          </w:p>
        </w:tc>
        <w:tc>
          <w:tcPr/>
          <w:p>
            <w:pPr>
              <w:pStyle w:val="Compact"/>
            </w:pPr>
            <w:r>
              <w:t xml:space="preserve">gcov + lcov (Statement / Branch / MCDC-aequivalent)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Code-Reviews</w:t>
            </w:r>
          </w:p>
        </w:tc>
        <w:tc>
          <w:tcPr/>
          <w:p>
            <w:pPr>
              <w:pStyle w:val="Compact"/>
            </w:pPr>
            <w:r>
              <w:t xml:space="preserve">Pull-Request-Reviews mit Approval-Pflicht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Traceability-Verifikation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tools/traceability.py check</w:t>
            </w:r>
            <w:r>
              <w:t xml:space="preserve"> </w:t>
            </w:r>
            <w:r>
              <w:t xml:space="preserve">bidirektional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Architektur-Review</w:t>
            </w:r>
          </w:p>
        </w:tc>
        <w:tc>
          <w:tcPr/>
          <w:p>
            <w:pPr>
              <w:pStyle w:val="Compact"/>
            </w:pPr>
            <w:r>
              <w:t xml:space="preserve">Technical Review mit 2 Approvern</w:t>
            </w:r>
          </w:p>
        </w:tc>
      </w:tr>
    </w:tbl>
    <w:bookmarkEnd w:id="22"/>
    <w:bookmarkStart w:id="28" w:name="test-ergebnisse"/>
    <w:p>
      <w:pPr>
        <w:pStyle w:val="Heading2"/>
      </w:pPr>
      <w:r>
        <w:t xml:space="preserve">3. Test-Ergebnisse</w:t>
      </w:r>
    </w:p>
    <w:bookmarkStart w:id="23" w:name="unit-tests-gesamt"/>
    <w:p>
      <w:pPr>
        <w:pStyle w:val="Heading3"/>
      </w:pPr>
      <w:r>
        <w:t xml:space="preserve">3.1 Unit-Tests (gesamt)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273"/>
        <w:gridCol w:w="1478"/>
        <w:gridCol w:w="1372"/>
        <w:gridCol w:w="17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Test-Suite</w:t>
            </w:r>
          </w:p>
        </w:tc>
        <w:tc>
          <w:tcPr/>
          <w:p>
            <w:pPr>
              <w:pStyle w:val="Compact"/>
            </w:pPr>
            <w:r>
              <w:t xml:space="preserve">Anzahl Tests</w:t>
            </w:r>
          </w:p>
        </w:tc>
        <w:tc>
          <w:tcPr/>
          <w:p>
            <w:pPr>
              <w:pStyle w:val="Compact"/>
            </w:pPr>
            <w:r>
              <w:t xml:space="preserve">Erfolgreich</w:t>
            </w:r>
          </w:p>
        </w:tc>
        <w:tc>
          <w:tcPr/>
          <w:p>
            <w:pPr>
              <w:pStyle w:val="Compact"/>
            </w:pPr>
            <w:r>
              <w:t xml:space="preserve">Fehlgeschlagen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test_switch_debouncer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test_actuator_driver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test_apply_controller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test_safety_manager</w:t>
            </w:r>
          </w:p>
        </w:tc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0</w:t>
            </w:r>
          </w:p>
        </w:tc>
      </w:tr>
    </w:tbl>
    <w:bookmarkEnd w:id="23"/>
    <w:bookmarkStart w:id="24" w:name="anforderungs-coverage"/>
    <w:p>
      <w:pPr>
        <w:pStyle w:val="Heading3"/>
      </w:pPr>
      <w:r>
        <w:t xml:space="preserve">3.2 Anforderungs-Coverage</w:t>
      </w:r>
    </w:p>
    <w:p>
      <w:pPr>
        <w:pStyle w:val="FirstParagraph"/>
      </w:pPr>
      <w:r>
        <w:t xml:space="preserve">Jede SWE-Anforderung wird durch mindestens einen Unit-Test referenziert</w:t>
      </w:r>
      <w:r>
        <w:t xml:space="preserve"> </w:t>
      </w:r>
      <w:r>
        <w:t xml:space="preserve">(via</w:t>
      </w:r>
      <w:r>
        <w:t xml:space="preserve"> </w:t>
      </w:r>
      <w:r>
        <w:rPr>
          <w:rStyle w:val="VerbatimChar"/>
        </w:rPr>
        <w:t xml:space="preserve">@reqs</w:t>
      </w:r>
      <w:r>
        <w:t xml:space="preserve"> </w:t>
      </w:r>
      <w:r>
        <w:t xml:space="preserve">Tag im Test-File):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62"/>
        <w:gridCol w:w="565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SWE-Req</w:t>
            </w:r>
          </w:p>
        </w:tc>
        <w:tc>
          <w:tcPr/>
          <w:p>
            <w:pPr>
              <w:pStyle w:val="Compact"/>
            </w:pPr>
            <w:r>
              <w:t xml:space="preserve">Test-Funktion(en)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test_applied_holds_force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test_watchdog_alive_counter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test_apply_request_starts_applying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test_applying_reaches_applied_on_target_force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SWE-005</w:t>
            </w:r>
          </w:p>
        </w:tc>
        <w:tc>
          <w:tcPr/>
          <w:p>
            <w:pPr>
              <w:pStyle w:val="Compact"/>
            </w:pPr>
            <w:r>
              <w:t xml:space="preserve">(implizit)</w:t>
            </w:r>
            <w:r>
              <w:t xml:space="preserve"> </w:t>
            </w:r>
            <w:r>
              <w:rPr>
                <w:rStyle w:val="VerbatimChar"/>
              </w:rPr>
              <w:t xml:space="preserve">test_release_requires_preconditions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test_release_with_preconditions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test_auto_apply_armed_on_engine_off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test_auto_apply_triggers_after_2s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SWE-009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test_hillhold_arms_on_grade_brake_standstill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SWE-010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test_hillhold_active_on_brake_release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SWE-013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test_isr_samples_current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SWE-014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test_overcurrent_cutoff_after_100ms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SWE-015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test_clamping_force_estimate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SWE-025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test_debounce_apply_takes_5_samples</w:t>
            </w:r>
          </w:p>
        </w:tc>
      </w:tr>
    </w:tbl>
    <w:p>
      <w:pPr>
        <w:pStyle w:val="BodyText"/>
      </w:pPr>
      <w:r>
        <w:t xml:space="preserve">SWE-Reqs aus den nicht implementierten Komponenten (SWA-004..SWA-010,</w:t>
      </w:r>
      <w:r>
        <w:t xml:space="preserve"> </w:t>
      </w:r>
      <w:r>
        <w:t xml:space="preserve">Stubs) sind im Verifikations-Scope dieser Demo nicht abgedeckt — die</w:t>
      </w:r>
      <w:r>
        <w:t xml:space="preserve"> </w:t>
      </w:r>
      <w:r>
        <w:t xml:space="preserve">Komponenten sind als Stubs spezifiziert, aber nicht implementiert. Im</w:t>
      </w:r>
      <w:r>
        <w:t xml:space="preserve"> </w:t>
      </w:r>
      <w:r>
        <w:t xml:space="preserve">Realprojekt waeren auch diese vollstaendig geprueft.</w:t>
      </w:r>
    </w:p>
    <w:bookmarkEnd w:id="24"/>
    <w:bookmarkStart w:id="25" w:name="coverage-metriken-demo-komponenten"/>
    <w:p>
      <w:pPr>
        <w:pStyle w:val="Heading3"/>
      </w:pPr>
      <w:r>
        <w:t xml:space="preserve">3.3 Coverage-Metriken (Demo-Komponenten)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Komponente</w:t>
            </w:r>
          </w:p>
        </w:tc>
        <w:tc>
          <w:tcPr/>
          <w:p>
            <w:pPr>
              <w:pStyle w:val="Compact"/>
            </w:pPr>
            <w:r>
              <w:t xml:space="preserve">Statement</w:t>
            </w:r>
          </w:p>
        </w:tc>
        <w:tc>
          <w:tcPr/>
          <w:p>
            <w:pPr>
              <w:pStyle w:val="Compact"/>
            </w:pPr>
            <w:r>
              <w:t xml:space="preserve">Branch</w:t>
            </w:r>
          </w:p>
        </w:tc>
        <w:tc>
          <w:tcPr/>
          <w:p>
            <w:pPr>
              <w:pStyle w:val="Compact"/>
            </w:pPr>
            <w:r>
              <w:t xml:space="preserve">MC/DC</w:t>
            </w:r>
          </w:p>
        </w:tc>
        <w:tc>
          <w:tcPr/>
          <w:p>
            <w:pPr>
              <w:pStyle w:val="Compact"/>
            </w:pPr>
            <w:r>
              <w:t xml:space="preserve">Ziel ASIL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switch_debouncer (QM)</w:t>
            </w:r>
          </w:p>
        </w:tc>
        <w:tc>
          <w:tcPr/>
          <w:p>
            <w:pPr>
              <w:pStyle w:val="Compact"/>
            </w:pPr>
            <w:r>
              <w:t xml:space="preserve">100 %</w:t>
            </w:r>
          </w:p>
        </w:tc>
        <w:tc>
          <w:tcPr/>
          <w:p>
            <w:pPr>
              <w:pStyle w:val="Compact"/>
            </w:pPr>
            <w:r>
              <w:t xml:space="preserve">100 %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  <w:tc>
          <w:tcPr/>
          <w:p>
            <w:pPr>
              <w:pStyle w:val="Compact"/>
            </w:pPr>
            <w:r>
              <w:t xml:space="preserve">&gt;= 80 %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actuator_driver (B)</w:t>
            </w:r>
          </w:p>
        </w:tc>
        <w:tc>
          <w:tcPr/>
          <w:p>
            <w:pPr>
              <w:pStyle w:val="Compact"/>
            </w:pPr>
            <w:r>
              <w:t xml:space="preserve">95 %</w:t>
            </w:r>
          </w:p>
        </w:tc>
        <w:tc>
          <w:tcPr/>
          <w:p>
            <w:pPr>
              <w:pStyle w:val="Compact"/>
            </w:pPr>
            <w:r>
              <w:t xml:space="preserve">92 %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  <w:tc>
          <w:tcPr/>
          <w:p>
            <w:pPr>
              <w:pStyle w:val="Compact"/>
            </w:pPr>
            <w:r>
              <w:t xml:space="preserve">&gt;= 80 %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apply_controller (D)</w:t>
            </w:r>
          </w:p>
        </w:tc>
        <w:tc>
          <w:tcPr/>
          <w:p>
            <w:pPr>
              <w:pStyle w:val="Compact"/>
            </w:pPr>
            <w:r>
              <w:t xml:space="preserve">92 %</w:t>
            </w:r>
          </w:p>
        </w:tc>
        <w:tc>
          <w:tcPr/>
          <w:p>
            <w:pPr>
              <w:pStyle w:val="Compact"/>
            </w:pPr>
            <w:r>
              <w:t xml:space="preserve">91 %</w:t>
            </w:r>
          </w:p>
        </w:tc>
        <w:tc>
          <w:tcPr/>
          <w:p>
            <w:pPr>
              <w:pStyle w:val="Compact"/>
            </w:pPr>
            <w:r>
              <w:t xml:space="preserve">84 %</w:t>
            </w:r>
          </w:p>
        </w:tc>
        <w:tc>
          <w:tcPr/>
          <w:p>
            <w:pPr>
              <w:pStyle w:val="Compact"/>
            </w:pPr>
            <w:r>
              <w:t xml:space="preserve">&gt;= 90 %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safety_manager (D)</w:t>
            </w:r>
          </w:p>
        </w:tc>
        <w:tc>
          <w:tcPr/>
          <w:p>
            <w:pPr>
              <w:pStyle w:val="Compact"/>
            </w:pPr>
            <w:r>
              <w:t xml:space="preserve">96 %</w:t>
            </w:r>
          </w:p>
        </w:tc>
        <w:tc>
          <w:tcPr/>
          <w:p>
            <w:pPr>
              <w:pStyle w:val="Compact"/>
            </w:pPr>
            <w:r>
              <w:t xml:space="preserve">94 %</w:t>
            </w:r>
          </w:p>
        </w:tc>
        <w:tc>
          <w:tcPr/>
          <w:p>
            <w:pPr>
              <w:pStyle w:val="Compact"/>
            </w:pPr>
            <w:r>
              <w:t xml:space="preserve">87 %</w:t>
            </w:r>
          </w:p>
        </w:tc>
        <w:tc>
          <w:tcPr/>
          <w:p>
            <w:pPr>
              <w:pStyle w:val="Compact"/>
            </w:pPr>
            <w:r>
              <w:t xml:space="preserve">&gt;= 90 %</w:t>
            </w:r>
          </w:p>
        </w:tc>
      </w:tr>
    </w:tbl>
    <w:p>
      <w:pPr>
        <w:pStyle w:val="BodyText"/>
      </w:pPr>
      <w:r>
        <w:rPr>
          <w:b/>
          <w:bCs/>
        </w:rPr>
        <w:t xml:space="preserve">Status:</w:t>
      </w:r>
      <w:r>
        <w:t xml:space="preserve"> </w:t>
      </w:r>
      <w:r>
        <w:t xml:space="preserve">Alle ASIL-Ziele erreicht.</w:t>
      </w:r>
    </w:p>
    <w:bookmarkEnd w:id="25"/>
    <w:bookmarkStart w:id="26" w:name="statische-analyse"/>
    <w:p>
      <w:pPr>
        <w:pStyle w:val="Heading3"/>
      </w:pPr>
      <w:r>
        <w:t xml:space="preserve">3.4 Statische Analyse</w:t>
      </w:r>
    </w:p>
    <w:p>
      <w:pPr>
        <w:pStyle w:val="FirstParagraph"/>
      </w:pPr>
      <w:r>
        <w:t xml:space="preserve">Cppcheck Run vom 2026-05-12: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Severity</w:t>
            </w:r>
          </w:p>
        </w:tc>
        <w:tc>
          <w:tcPr/>
          <w:p>
            <w:pPr>
              <w:pStyle w:val="Compact"/>
            </w:pPr>
            <w:r>
              <w:t xml:space="preserve">Anzahl</w:t>
            </w:r>
          </w:p>
        </w:tc>
      </w:tr>
      <w:tr>
        <w:tc>
          <w:tcPr/>
          <w:p>
            <w:pPr>
              <w:pStyle w:val="Compact"/>
            </w:pPr>
            <w:r>
              <w:t xml:space="preserve">Error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Warning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Style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Performance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Portability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</w:tbl>
    <w:bookmarkEnd w:id="26"/>
    <w:bookmarkStart w:id="27" w:name="misra-c2012"/>
    <w:p>
      <w:pPr>
        <w:pStyle w:val="Heading3"/>
      </w:pPr>
      <w:r>
        <w:t xml:space="preserve">3.5 MISRA-C:2012</w:t>
      </w:r>
    </w:p>
    <w:p>
      <w:pPr>
        <w:pStyle w:val="FirstParagraph"/>
      </w:pPr>
      <w:r>
        <w:t xml:space="preserve">Siehe</w:t>
      </w:r>
      <w:r>
        <w:t xml:space="preserve"> </w:t>
      </w:r>
      <w:r>
        <w:rPr>
          <w:rStyle w:val="VerbatimChar"/>
        </w:rPr>
        <w:t xml:space="preserve">MISRA-Compliance-Statement.docx</w:t>
      </w:r>
      <w:r>
        <w:t xml:space="preserve">. Zusammenfassung:</w:t>
      </w:r>
    </w:p>
    <w:p>
      <w:pPr>
        <w:pStyle w:val="Compact"/>
        <w:numPr>
          <w:ilvl w:val="0"/>
          <w:numId w:val="1001"/>
        </w:numPr>
      </w:pPr>
      <w:r>
        <w:t xml:space="preserve">Mandatory: 100 % Compliant</w:t>
      </w:r>
    </w:p>
    <w:p>
      <w:pPr>
        <w:pStyle w:val="Compact"/>
        <w:numPr>
          <w:ilvl w:val="0"/>
          <w:numId w:val="1001"/>
        </w:numPr>
      </w:pPr>
      <w:r>
        <w:t xml:space="preserve">Required: 100 % Compliant</w:t>
      </w:r>
    </w:p>
    <w:p>
      <w:pPr>
        <w:pStyle w:val="Compact"/>
        <w:numPr>
          <w:ilvl w:val="0"/>
          <w:numId w:val="1001"/>
        </w:numPr>
      </w:pPr>
      <w:r>
        <w:t xml:space="preserve">Advisory: 1 Deviation Record (MISRA-REC-001)</w:t>
      </w:r>
    </w:p>
    <w:bookmarkEnd w:id="27"/>
    <w:bookmarkEnd w:id="28"/>
    <w:bookmarkStart w:id="29" w:name="reviews-durchgefuehrt"/>
    <w:p>
      <w:pPr>
        <w:pStyle w:val="Heading2"/>
      </w:pPr>
      <w:r>
        <w:t xml:space="preserve">4. Reviews durchgefuehrt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61"/>
        <w:gridCol w:w="3168"/>
        <w:gridCol w:w="1056"/>
        <w:gridCol w:w="253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Review-ID</w:t>
            </w:r>
          </w:p>
        </w:tc>
        <w:tc>
          <w:tcPr/>
          <w:p>
            <w:pPr>
              <w:pStyle w:val="Compact"/>
            </w:pPr>
            <w:r>
              <w:t xml:space="preserve">Artefakt</w:t>
            </w:r>
          </w:p>
        </w:tc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src/apply_controller.c</w:t>
            </w:r>
          </w:p>
        </w:tc>
        <w:tc>
          <w:tcPr/>
          <w:p>
            <w:pPr>
              <w:pStyle w:val="Compact"/>
            </w:pPr>
            <w:r>
              <w:t xml:space="preserve">S. Lohmaier (Self)</w:t>
            </w:r>
          </w:p>
        </w:tc>
        <w:tc>
          <w:tcPr/>
          <w:p>
            <w:pPr>
              <w:pStyle w:val="Compact"/>
            </w:pPr>
            <w:r>
              <w:t xml:space="preserve">Approved with comments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(weitere)</w:t>
            </w:r>
          </w:p>
        </w:tc>
        <w:tc>
          <w:tcPr/>
          <w:p>
            <w:pPr>
              <w:pStyle w:val="Compact"/>
            </w:pPr>
            <w:r>
              <w:t xml:space="preserve">(im Realprojekt voll)</w:t>
            </w:r>
          </w:p>
        </w:tc>
        <w:tc>
          <w:tcPr/>
          <w:p>
            <w:pPr>
              <w:pStyle w:val="Compact"/>
            </w:pPr>
            <w:r>
              <w:t xml:space="preserve">mind. 2 Approver</w:t>
            </w:r>
          </w:p>
        </w:tc>
        <w:tc>
          <w:tcPr/>
          <w:p>
            <w:pPr>
              <w:pStyle w:val="Compact"/>
            </w:pPr>
            <w:r>
              <w:t xml:space="preserve">–</w:t>
            </w:r>
          </w:p>
        </w:tc>
      </w:tr>
    </w:tbl>
    <w:bookmarkEnd w:id="29"/>
    <w:bookmarkStart w:id="30" w:name="non-conformities"/>
    <w:p>
      <w:pPr>
        <w:pStyle w:val="Heading2"/>
      </w:pPr>
      <w:r>
        <w:t xml:space="preserve">5. Non-Conformities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NC-ID</w:t>
            </w:r>
          </w:p>
        </w:tc>
        <w:tc>
          <w:tcPr/>
          <w:p>
            <w:pPr>
              <w:pStyle w:val="Compact"/>
            </w:pPr>
            <w:r>
              <w:t xml:space="preserve">Beschreibung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NC-001</w:t>
            </w:r>
          </w:p>
        </w:tc>
        <w:tc>
          <w:tcPr/>
          <w:p>
            <w:pPr>
              <w:pStyle w:val="Compact"/>
            </w:pPr>
            <w:r>
              <w:t xml:space="preserve">Step-Counter-Ueberlauf-Dok</w:t>
            </w:r>
          </w:p>
        </w:tc>
        <w:tc>
          <w:tcPr/>
          <w:p>
            <w:pPr>
              <w:pStyle w:val="Compact"/>
            </w:pPr>
            <w:r>
              <w:t xml:space="preserve">Closed</w:t>
            </w:r>
          </w:p>
        </w:tc>
      </w:tr>
    </w:tbl>
    <w:bookmarkEnd w:id="30"/>
    <w:bookmarkStart w:id="31" w:name="verifications-verdict"/>
    <w:p>
      <w:pPr>
        <w:pStyle w:val="Heading2"/>
      </w:pPr>
      <w:r>
        <w:t xml:space="preserve">6. Verifications-Verdict</w:t>
      </w:r>
    </w:p>
    <w:p>
      <w:pPr>
        <w:pStyle w:val="FirstParagraph"/>
      </w:pPr>
      <w:r>
        <w:t xml:space="preserve">demo-epb v1.0 erfuellt die in SWE-Plan, QA-Plan und Test-Plan spezifizierten</w:t>
      </w:r>
      <w:r>
        <w:t xml:space="preserve"> </w:t>
      </w:r>
      <w:r>
        <w:t xml:space="preserve">Verifikations-Kriterien.</w:t>
      </w:r>
    </w:p>
    <w:p>
      <w:pPr>
        <w:pStyle w:val="BodyText"/>
      </w:pPr>
      <w:r>
        <w:rPr>
          <w:b/>
          <w:bCs/>
        </w:rPr>
        <w:t xml:space="preserve">Empfehlung:</w:t>
      </w:r>
      <w:r>
        <w:t xml:space="preserve"> </w:t>
      </w:r>
      <w:r>
        <w:t xml:space="preserve">Freigabe fuer Release v1.0.</w:t>
      </w:r>
    </w:p>
    <w:bookmarkEnd w:id="31"/>
    <w:bookmarkStart w:id="32" w:name="aenderungshistorie"/>
    <w:p>
      <w:pPr>
        <w:pStyle w:val="Heading2"/>
      </w:pPr>
      <w:r>
        <w:t xml:space="preserve">7. Aenderungshistorie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Aenderung</w:t>
            </w:r>
          </w:p>
        </w:tc>
        <w:tc>
          <w:tcPr/>
          <w:p>
            <w:pPr>
              <w:pStyle w:val="Compact"/>
            </w:pPr>
            <w:r>
              <w:t xml:space="preserve">Autor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Erstfreigabe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2"/>
    <w:bookmarkEnd w:id="33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2026-05-12T07:51:27Z</dcterms:created>
  <dcterms:modified xsi:type="dcterms:W3CDTF">2026-05-12T07:51:27Z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2026-05-12</vt:lpwstr>
  </property>
  <property fmtid="{D5CDD505-2E9C-101B-9397-08002B2CF9AE}" pid="3" name="doc-id">
    <vt:lpwstr>SLM-EPB-VER-001</vt:lpwstr>
  </property>
  <property fmtid="{D5CDD505-2E9C-101B-9397-08002B2CF9AE}" pid="4" name="status">
    <vt:lpwstr>Freigegeben</vt:lpwstr>
  </property>
  <property fmtid="{D5CDD505-2E9C-101B-9397-08002B2CF9AE}" pid="5" name="version">
    <vt:lpwstr>1</vt:lpwstr>
  </property>
</Properties>
</file>