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2" w:name="misra-c2012-compliance-statement"/>
    <w:p>
      <w:pPr>
        <w:pStyle w:val="Heading1"/>
      </w:pPr>
      <w:r>
        <w:t xml:space="preserve">MISRA C:2012 Compliance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Dokument-ID</w:t>
            </w:r>
          </w:p>
        </w:tc>
        <w:tc>
          <w:tcPr/>
          <w:p>
            <w:pPr>
              <w:pStyle w:val="Compact"/>
            </w:pPr>
            <w:r>
              <w:t xml:space="preserve">SLM-EPB-MISRA-COMP-001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MISRA C:2012 (inkl. Amendment 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Compiler</w:t>
            </w:r>
          </w:p>
        </w:tc>
        <w:tc>
          <w:tcPr/>
          <w:p>
            <w:pPr>
              <w:pStyle w:val="Compact"/>
            </w:pPr>
            <w:r>
              <w:t xml:space="preserve">GCC 11.2 (Linux CI) / GCC 16.1 (Win)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Checker</w:t>
            </w:r>
          </w:p>
        </w:tc>
        <w:tc>
          <w:tcPr/>
          <w:p>
            <w:pPr>
              <w:pStyle w:val="Compact"/>
            </w:pPr>
            <w:r>
              <w:t xml:space="preserve">Cppcheck 2.7+ mit</w:t>
            </w:r>
            <w:r>
              <w:t xml:space="preserve"> </w:t>
            </w:r>
            <w:r>
              <w:rPr>
                <w:rStyle w:val="VerbatimChar"/>
              </w:rPr>
              <w:t xml:space="preserve">--addon=misra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zusammenfassung"/>
    <w:p>
      <w:pPr>
        <w:pStyle w:val="Heading2"/>
      </w:pPr>
      <w:r>
        <w:t xml:space="preserve">1. Zusammenfassung</w:t>
      </w:r>
    </w:p>
    <w:p>
      <w:pPr>
        <w:pStyle w:val="FirstParagraph"/>
      </w:pPr>
      <w:r>
        <w:t xml:space="preserve">Der Quellcode von demo-epb wurde gegen MISRA C:2012 geprueft.</w:t>
      </w:r>
      <w:r>
        <w:t xml:space="preserve"> </w:t>
      </w:r>
      <w:r>
        <w:t xml:space="preserve">Alle</w:t>
      </w:r>
      <w:r>
        <w:t xml:space="preserve"> </w:t>
      </w:r>
      <w:r>
        <w:rPr>
          <w:b/>
          <w:bCs/>
        </w:rPr>
        <w:t xml:space="preserve">Required</w:t>
      </w:r>
      <w:r>
        <w:t xml:space="preserve"> </w:t>
      </w:r>
      <w:r>
        <w:t xml:space="preserve">und</w:t>
      </w:r>
      <w:r>
        <w:t xml:space="preserve"> </w:t>
      </w:r>
      <w:r>
        <w:rPr>
          <w:b/>
          <w:bCs/>
        </w:rPr>
        <w:t xml:space="preserve">Mandatory</w:t>
      </w:r>
      <w:r>
        <w:t xml:space="preserve"> </w:t>
      </w:r>
      <w:r>
        <w:t xml:space="preserve">Regeln werden eingehalten, mit Ausnahme</w:t>
      </w:r>
      <w:r>
        <w:t xml:space="preserve"> </w:t>
      </w:r>
      <w:r>
        <w:t xml:space="preserve">von einer dokumentierten Deviation (siehe MISRA-REC-001).</w:t>
      </w:r>
    </w:p>
    <w:p>
      <w:pPr>
        <w:pStyle w:val="BodyText"/>
      </w:pPr>
      <w:r>
        <w:rPr>
          <w:b/>
          <w:bCs/>
        </w:rPr>
        <w:t xml:space="preserve">Compliance-Erklaerung:</w:t>
      </w:r>
      <w:r>
        <w:t xml:space="preserve"> </w:t>
      </w:r>
      <w:r>
        <w:t xml:space="preserve">demo-epb v1.0 ist</w:t>
      </w:r>
      <w:r>
        <w:t xml:space="preserve"> </w:t>
      </w:r>
      <w:r>
        <w:rPr>
          <w:b/>
          <w:bCs/>
        </w:rPr>
        <w:t xml:space="preserve">MISRA C:2012 compliant</w:t>
      </w:r>
      <w:r>
        <w:t xml:space="preserve"> </w:t>
      </w:r>
      <w:r>
        <w:t xml:space="preserve">unter</w:t>
      </w:r>
      <w:r>
        <w:t xml:space="preserve"> </w:t>
      </w:r>
      <w:r>
        <w:t xml:space="preserve">Beruecksichtigung dokumentierter Deviation Records.</w:t>
      </w:r>
    </w:p>
    <w:bookmarkEnd w:id="21"/>
    <w:bookmarkStart w:id="22" w:name="geltungsbereich"/>
    <w:p>
      <w:pPr>
        <w:pStyle w:val="Heading2"/>
      </w:pPr>
      <w:r>
        <w:t xml:space="preserve">2. Geltungsbereich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416"/>
        <w:gridCol w:w="450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</w:t>
            </w:r>
          </w:p>
        </w:tc>
        <w:tc>
          <w:tcPr/>
          <w:p>
            <w:pPr>
              <w:pStyle w:val="Compact"/>
            </w:pPr>
            <w:r>
              <w:t xml:space="preserve">MISRA-konform geprueft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src/switch_debouncer.{c,h}</w:t>
            </w:r>
          </w:p>
        </w:tc>
        <w:tc>
          <w:tcPr/>
          <w:p>
            <w:pPr>
              <w:pStyle w:val="Compact"/>
            </w:pPr>
            <w:r>
              <w:t xml:space="preserve">Ja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src/actuator_driver.{c,h}</w:t>
            </w:r>
          </w:p>
        </w:tc>
        <w:tc>
          <w:tcPr/>
          <w:p>
            <w:pPr>
              <w:pStyle w:val="Compact"/>
            </w:pPr>
            <w:r>
              <w:t xml:space="preserve">Ja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src/apply_controller.{c,h}</w:t>
            </w:r>
          </w:p>
        </w:tc>
        <w:tc>
          <w:tcPr/>
          <w:p>
            <w:pPr>
              <w:pStyle w:val="Compact"/>
            </w:pPr>
            <w:r>
              <w:t xml:space="preserve">Ja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src/safety_manager.{c,h}</w:t>
            </w:r>
          </w:p>
        </w:tc>
        <w:tc>
          <w:tcPr/>
          <w:p>
            <w:pPr>
              <w:pStyle w:val="Compact"/>
            </w:pPr>
            <w:r>
              <w:t xml:space="preserve">Ja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src/epb_types.h</w:t>
            </w:r>
          </w:p>
        </w:tc>
        <w:tc>
          <w:tcPr/>
          <w:p>
            <w:pPr>
              <w:pStyle w:val="Compact"/>
            </w:pPr>
            <w:r>
              <w:t xml:space="preserve">Ja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src/stubs/*.h</w:t>
            </w:r>
          </w:p>
        </w:tc>
        <w:tc>
          <w:tcPr/>
          <w:p>
            <w:pPr>
              <w:pStyle w:val="Compact"/>
            </w:pPr>
            <w:r>
              <w:t xml:space="preserve">Header-only, keine MISRA-relevanten Implementierungen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tests/**/*</w:t>
            </w:r>
          </w:p>
        </w:tc>
        <w:tc>
          <w:tcPr/>
          <w:p>
            <w:pPr>
              <w:pStyle w:val="Compact"/>
            </w:pPr>
            <w:r>
              <w:t xml:space="preserve">Nicht im Geltungsbereich (Test-Code)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tools/**/*</w:t>
            </w:r>
          </w:p>
        </w:tc>
        <w:tc>
          <w:tcPr/>
          <w:p>
            <w:pPr>
              <w:pStyle w:val="Compact"/>
            </w:pPr>
            <w:r>
              <w:t xml:space="preserve">Nicht im Geltungsbereich (Python-Skripte)</w:t>
            </w:r>
          </w:p>
        </w:tc>
      </w:tr>
    </w:tbl>
    <w:bookmarkEnd w:id="22"/>
    <w:bookmarkStart w:id="23" w:name="regel-aktivierung"/>
    <w:p>
      <w:pPr>
        <w:pStyle w:val="Heading2"/>
      </w:pPr>
      <w:r>
        <w:t xml:space="preserve">3. Regel-Aktivierung</w:t>
      </w:r>
    </w:p>
    <w:p>
      <w:pPr>
        <w:pStyle w:val="FirstParagraph"/>
      </w:pPr>
      <w:r>
        <w:t xml:space="preserve">Cppcheck MISRA-Addon prueft die folgenden Regel-Kategorien: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08"/>
        <w:gridCol w:w="1242"/>
        <w:gridCol w:w="496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Kategorie</w:t>
            </w:r>
          </w:p>
        </w:tc>
        <w:tc>
          <w:tcPr/>
          <w:p>
            <w:pPr>
              <w:pStyle w:val="Compact"/>
            </w:pPr>
            <w:r>
              <w:t xml:space="preserve">Anzahl</w:t>
            </w:r>
          </w:p>
        </w:tc>
        <w:tc>
          <w:tcPr/>
          <w:p>
            <w:pPr>
              <w:pStyle w:val="Compact"/>
            </w:pPr>
            <w:r>
              <w:t xml:space="preserve">Aktivierung im Projekt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Mandatory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Alle aktiviert, Verletzung blockt Build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Required</w:t>
            </w:r>
          </w:p>
        </w:tc>
        <w:tc>
          <w:tcPr/>
          <w:p>
            <w:pPr>
              <w:pStyle w:val="Compact"/>
            </w:pPr>
            <w:r>
              <w:t xml:space="preserve">119</w:t>
            </w:r>
          </w:p>
        </w:tc>
        <w:tc>
          <w:tcPr/>
          <w:p>
            <w:pPr>
              <w:pStyle w:val="Compact"/>
            </w:pPr>
            <w:r>
              <w:t xml:space="preserve">Alle aktiviert, Verletzung blockt Build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Advisory</w:t>
            </w:r>
          </w:p>
        </w:tc>
        <w:tc>
          <w:tcPr/>
          <w:p>
            <w:pPr>
              <w:pStyle w:val="Compact"/>
            </w:pPr>
            <w:r>
              <w:t xml:space="preserve">47</w:t>
            </w:r>
          </w:p>
        </w:tc>
        <w:tc>
          <w:tcPr/>
          <w:p>
            <w:pPr>
              <w:pStyle w:val="Compact"/>
            </w:pPr>
            <w:r>
              <w:t xml:space="preserve">Aktiviert mit Warning-Level, Deviations zulaessig per Record</w:t>
            </w:r>
          </w:p>
        </w:tc>
      </w:tr>
    </w:tbl>
    <w:bookmarkEnd w:id="23"/>
    <w:bookmarkStart w:id="27" w:name="compliance-status-pro-regel-kategorie"/>
    <w:p>
      <w:pPr>
        <w:pStyle w:val="Heading2"/>
      </w:pPr>
      <w:r>
        <w:t xml:space="preserve">4. Compliance-Status pro Regel-Kategorie</w:t>
      </w:r>
    </w:p>
    <w:bookmarkStart w:id="24" w:name="mandatory-rules-9"/>
    <w:p>
      <w:pPr>
        <w:pStyle w:val="Heading3"/>
      </w:pPr>
      <w:r>
        <w:t xml:space="preserve">4.1 Mandatory Rules (9)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9.1, R 9.2, R 9.3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13.6, R 17.3, R 17.4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19.1, R 21.13, R 21.17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21.18, R 21.19, R 21.20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</w:tbl>
    <w:p>
      <w:pPr>
        <w:pStyle w:val="BodyText"/>
      </w:pPr>
      <w:r>
        <w:rPr>
          <w:b/>
          <w:bCs/>
        </w:rPr>
        <w:t xml:space="preserve">Mandatory Status: 100 % Compliant.</w:t>
      </w:r>
    </w:p>
    <w:bookmarkEnd w:id="24"/>
    <w:bookmarkStart w:id="25" w:name="required-rules"/>
    <w:p>
      <w:pPr>
        <w:pStyle w:val="Heading3"/>
      </w:pPr>
      <w:r>
        <w:t xml:space="preserve">4.2 Required Rules</w:t>
      </w:r>
    </w:p>
    <w:p>
      <w:pPr>
        <w:pStyle w:val="FirstParagraph"/>
      </w:pPr>
      <w:r>
        <w:t xml:space="preserve">Gesamt: 119 Required Rules. Verletzungen:</w:t>
      </w:r>
      <w:r>
        <w:t xml:space="preserve"> </w:t>
      </w:r>
      <w:r>
        <w:rPr>
          <w:b/>
          <w:bCs/>
        </w:rPr>
        <w:t xml:space="preserve">0</w:t>
      </w:r>
      <w:r>
        <w:t xml:space="preserve">.</w:t>
      </w:r>
    </w:p>
    <w:p>
      <w:pPr>
        <w:pStyle w:val="BodyText"/>
      </w:pPr>
      <w:r>
        <w:t xml:space="preserve">Top-relevante Rules fuer dieses Projekt: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25"/>
        <w:gridCol w:w="5965"/>
        <w:gridCol w:w="102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Rule</w:t>
            </w:r>
          </w:p>
        </w:tc>
        <w:tc>
          <w:tcPr/>
          <w:p>
            <w:pPr>
              <w:pStyle w:val="Compact"/>
            </w:pPr>
            <w:r>
              <w:t xml:space="preserve">Beschreibung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8.1</w:t>
            </w:r>
          </w:p>
        </w:tc>
        <w:tc>
          <w:tcPr/>
          <w:p>
            <w:pPr>
              <w:pStyle w:val="Compact"/>
            </w:pPr>
            <w:r>
              <w:t xml:space="preserve">Type specifier shall be explicit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8.2</w:t>
            </w:r>
          </w:p>
        </w:tc>
        <w:tc>
          <w:tcPr/>
          <w:p>
            <w:pPr>
              <w:pStyle w:val="Compact"/>
            </w:pPr>
            <w:r>
              <w:t xml:space="preserve">Function parameters shall be explicitly named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8.4</w:t>
            </w:r>
          </w:p>
        </w:tc>
        <w:tc>
          <w:tcPr/>
          <w:p>
            <w:pPr>
              <w:pStyle w:val="Compact"/>
            </w:pPr>
            <w:r>
              <w:t xml:space="preserve">Compatible declaration shall be visible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8.7</w:t>
            </w:r>
          </w:p>
        </w:tc>
        <w:tc>
          <w:tcPr/>
          <w:p>
            <w:pPr>
              <w:pStyle w:val="Compact"/>
            </w:pPr>
            <w:r>
              <w:t xml:space="preserve">Functions shall not have external linkage if used in one unit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14.1</w:t>
            </w:r>
          </w:p>
        </w:tc>
        <w:tc>
          <w:tcPr/>
          <w:p>
            <w:pPr>
              <w:pStyle w:val="Compact"/>
            </w:pPr>
            <w:r>
              <w:t xml:space="preserve">Loop counter shall not have essentially floating type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14.4</w:t>
            </w:r>
          </w:p>
        </w:tc>
        <w:tc>
          <w:tcPr/>
          <w:p>
            <w:pPr>
              <w:pStyle w:val="Compact"/>
            </w:pPr>
            <w:r>
              <w:t xml:space="preserve">Controlling expression shall have essentially Boolean type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15.4</w:t>
            </w:r>
          </w:p>
        </w:tc>
        <w:tc>
          <w:tcPr/>
          <w:p>
            <w:pPr>
              <w:pStyle w:val="Compact"/>
            </w:pPr>
            <w:r>
              <w:t xml:space="preserve">At most one break or goto per loop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17.7</w:t>
            </w:r>
          </w:p>
        </w:tc>
        <w:tc>
          <w:tcPr/>
          <w:p>
            <w:pPr>
              <w:pStyle w:val="Compact"/>
            </w:pPr>
            <w:r>
              <w:t xml:space="preserve">Return value of non-void function shall be used</w:t>
            </w:r>
          </w:p>
        </w:tc>
        <w:tc>
          <w:tcPr/>
          <w:p>
            <w:pPr>
              <w:pStyle w:val="Compact"/>
            </w:pPr>
            <w:r>
              <w:t xml:space="preserve">Compliant (oder explizit</w:t>
            </w:r>
            <w:r>
              <w:t xml:space="preserve"> </w:t>
            </w:r>
            <w:r>
              <w:rPr>
                <w:rStyle w:val="VerbatimChar"/>
              </w:rPr>
              <w:t xml:space="preserve">(void)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21.3</w:t>
            </w:r>
          </w:p>
        </w:tc>
        <w:tc>
          <w:tcPr/>
          <w:p>
            <w:pPr>
              <w:pStyle w:val="Compact"/>
            </w:pPr>
            <w:r>
              <w:t xml:space="preserve">No dynamic memory allocation (malloc/free)</w:t>
            </w:r>
          </w:p>
        </w:tc>
        <w:tc>
          <w:tcPr/>
          <w:p>
            <w:pPr>
              <w:pStyle w:val="Compact"/>
            </w:pPr>
            <w:r>
              <w:t xml:space="preserve">Compliant (keine Heap-Nutzung)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21.4</w:t>
            </w:r>
          </w:p>
        </w:tc>
        <w:tc>
          <w:tcPr/>
          <w:p>
            <w:pPr>
              <w:pStyle w:val="Compact"/>
            </w:pPr>
            <w:r>
              <w:t xml:space="preserve">No setjmp/longjmp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</w:tbl>
    <w:bookmarkEnd w:id="25"/>
    <w:bookmarkStart w:id="26" w:name="advisory-rules"/>
    <w:p>
      <w:pPr>
        <w:pStyle w:val="Heading3"/>
      </w:pPr>
      <w:r>
        <w:t xml:space="preserve">4.3 Advisory Rules</w:t>
      </w:r>
    </w:p>
    <w:p>
      <w:pPr>
        <w:pStyle w:val="FirstParagraph"/>
      </w:pPr>
      <w:r>
        <w:t xml:space="preserve">47 Advisory Rules. Verletzungen werden via MISRA Deviation Records dokumentiert.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10"/>
        <w:gridCol w:w="810"/>
        <w:gridCol w:w="2790"/>
        <w:gridCol w:w="261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Record-ID</w:t>
            </w:r>
          </w:p>
        </w:tc>
        <w:tc>
          <w:tcPr/>
          <w:p>
            <w:pPr>
              <w:pStyle w:val="Compact"/>
            </w:pPr>
            <w:r>
              <w:t xml:space="preserve">Rule</w:t>
            </w:r>
          </w:p>
        </w:tc>
        <w:tc>
          <w:tcPr/>
          <w:p>
            <w:pPr>
              <w:pStyle w:val="Compact"/>
            </w:pPr>
            <w:r>
              <w:t xml:space="preserve">Datei</w:t>
            </w:r>
          </w:p>
        </w:tc>
        <w:tc>
          <w:tcPr/>
          <w:p>
            <w:pPr>
              <w:pStyle w:val="Compact"/>
            </w:pPr>
            <w:r>
              <w:t xml:space="preserve">Begruendung-Auszug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MISRA-REC-001</w:t>
            </w:r>
          </w:p>
        </w:tc>
        <w:tc>
          <w:tcPr/>
          <w:p>
            <w:pPr>
              <w:pStyle w:val="Compact"/>
            </w:pPr>
            <w:r>
              <w:t xml:space="preserve">R 15.5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src/apply_controller.c:64</w:t>
            </w:r>
          </w:p>
        </w:tc>
        <w:tc>
          <w:tcPr/>
          <w:p>
            <w:pPr>
              <w:pStyle w:val="Compact"/>
            </w:pPr>
            <w:r>
              <w:t xml:space="preserve">Early-Exit fuer NULL-Check</w:t>
            </w:r>
          </w:p>
        </w:tc>
      </w:tr>
    </w:tbl>
    <w:p>
      <w:pPr>
        <w:pStyle w:val="BodyText"/>
      </w:pPr>
      <w:r>
        <w:rPr>
          <w:b/>
          <w:bCs/>
        </w:rPr>
        <w:t xml:space="preserve">Advisory Status: 1 Deviation Record, dokumentiert.</w:t>
      </w:r>
    </w:p>
    <w:bookmarkEnd w:id="26"/>
    <w:bookmarkEnd w:id="27"/>
    <w:bookmarkStart w:id="28" w:name="pruef-pipeline"/>
    <w:p>
      <w:pPr>
        <w:pStyle w:val="Heading2"/>
      </w:pPr>
      <w:r>
        <w:t xml:space="preserve">5. Pruef-Pipeline</w:t>
      </w:r>
    </w:p>
    <w:p>
      <w:pPr>
        <w:pStyle w:val="SourceCode"/>
      </w:pPr>
      <w:r>
        <w:rPr>
          <w:rStyle w:val="ExtensionTok"/>
        </w:rPr>
        <w:t xml:space="preserve">cppcheck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--enable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all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--inconclusive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--error-exitcode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--suppress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missingIncludeSystem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--suppress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unusedFunction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--addon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misra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src src</w:t>
      </w:r>
    </w:p>
    <w:p>
      <w:pPr>
        <w:pStyle w:val="FirstParagraph"/>
      </w:pPr>
      <w:r>
        <w:t xml:space="preserve">Pruefung erfolgt:</w:t>
      </w:r>
      <w:r>
        <w:t xml:space="preserve"> </w:t>
      </w:r>
      <w:r>
        <w:t xml:space="preserve">- Lokal vor jedem Commit (empfohlen)</w:t>
      </w:r>
      <w:r>
        <w:t xml:space="preserve"> </w:t>
      </w:r>
      <w:r>
        <w:t xml:space="preserve">- Automatisch in CI bei jedem Push und PR</w:t>
      </w:r>
      <w:r>
        <w:t xml:space="preserve"> </w:t>
      </w:r>
      <w:r>
        <w:t xml:space="preserve">- Vor jedem Release (Tag-Push triggert release.yml)</w:t>
      </w:r>
    </w:p>
    <w:bookmarkEnd w:id="28"/>
    <w:bookmarkStart w:id="29" w:name="deviation-permits-projektweit"/>
    <w:p>
      <w:pPr>
        <w:pStyle w:val="Heading2"/>
      </w:pPr>
      <w:r>
        <w:t xml:space="preserve">6. Deviation Permits (projektweit)</w:t>
      </w:r>
    </w:p>
    <w:p>
      <w:pPr>
        <w:pStyle w:val="FirstParagraph"/>
      </w:pPr>
      <w:r>
        <w:t xml:space="preserve">Keine projektweiten Permits aktiv.</w:t>
      </w:r>
    </w:p>
    <w:bookmarkEnd w:id="29"/>
    <w:bookmarkStart w:id="30" w:name="re-audit-trigger"/>
    <w:p>
      <w:pPr>
        <w:pStyle w:val="Heading2"/>
      </w:pPr>
      <w:r>
        <w:t xml:space="preserve">7. Re-Audit-Trigger</w:t>
      </w:r>
    </w:p>
    <w:p>
      <w:pPr>
        <w:pStyle w:val="FirstParagraph"/>
      </w:pPr>
      <w:r>
        <w:t xml:space="preserve">Diese Compliance-Erklaerung muss bei folgenden Aenderungen neu erstellt werden:</w:t>
      </w:r>
    </w:p>
    <w:p>
      <w:pPr>
        <w:pStyle w:val="Compact"/>
        <w:numPr>
          <w:ilvl w:val="0"/>
          <w:numId w:val="1001"/>
        </w:numPr>
      </w:pPr>
      <w:r>
        <w:t xml:space="preserve">Compiler-Wechsel (z.B. GCC -&gt; Clang)</w:t>
      </w:r>
    </w:p>
    <w:p>
      <w:pPr>
        <w:pStyle w:val="Compact"/>
        <w:numPr>
          <w:ilvl w:val="0"/>
          <w:numId w:val="1001"/>
        </w:numPr>
      </w:pPr>
      <w:r>
        <w:t xml:space="preserve">Major-Update von Cppcheck oder MISRA-Addon</w:t>
      </w:r>
    </w:p>
    <w:p>
      <w:pPr>
        <w:pStyle w:val="Compact"/>
        <w:numPr>
          <w:ilvl w:val="0"/>
          <w:numId w:val="1001"/>
        </w:numPr>
      </w:pPr>
      <w:r>
        <w:t xml:space="preserve">Neue Quelldateien ausserhalb</w:t>
      </w:r>
      <w:r>
        <w:t xml:space="preserve"> </w:t>
      </w:r>
      <w:r>
        <w:rPr>
          <w:rStyle w:val="VerbatimChar"/>
        </w:rPr>
        <w:t xml:space="preserve">src/</w:t>
      </w:r>
    </w:p>
    <w:p>
      <w:pPr>
        <w:pStyle w:val="Compact"/>
        <w:numPr>
          <w:ilvl w:val="0"/>
          <w:numId w:val="1001"/>
        </w:numPr>
      </w:pPr>
      <w:r>
        <w:t xml:space="preserve">MISRA-Standard-Update (z.B. C:2025 Release)</w:t>
      </w:r>
    </w:p>
    <w:bookmarkEnd w:id="30"/>
    <w:bookmarkStart w:id="31" w:name="aenderungshistorie"/>
    <w:p>
      <w:pPr>
        <w:pStyle w:val="Heading2"/>
      </w:pPr>
      <w:r>
        <w:t xml:space="preserve">8. Aenderungshistorie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Aenderung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Erstfreigabe v1.0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1"/>
    <w:bookmarkEnd w:id="32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2026-05-12T07:51:27Z</dcterms:created>
  <dcterms:modified xsi:type="dcterms:W3CDTF">2026-05-12T07:51:27Z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2026-05-12</vt:lpwstr>
  </property>
  <property fmtid="{D5CDD505-2E9C-101B-9397-08002B2CF9AE}" pid="3" name="doc-id">
    <vt:lpwstr>SLM-EPB-MISRA-COMP-001</vt:lpwstr>
  </property>
  <property fmtid="{D5CDD505-2E9C-101B-9397-08002B2CF9AE}" pid="4" name="status">
    <vt:lpwstr>Freigegeben</vt:lpwstr>
  </property>
  <property fmtid="{D5CDD505-2E9C-101B-9397-08002B2CF9AE}" pid="5" name="version">
    <vt:lpwstr>1</vt:lpwstr>
  </property>
</Properties>
</file>